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21"/>
        <w:gridCol w:w="139"/>
        <w:gridCol w:w="1531"/>
        <w:gridCol w:w="2289"/>
        <w:gridCol w:w="858"/>
        <w:gridCol w:w="818"/>
        <w:gridCol w:w="1026"/>
        <w:gridCol w:w="1441"/>
      </w:tblGrid>
      <w:tr w:rsidR="00F54F5A" w:rsidRPr="002A00EB" w:rsidTr="00151421">
        <w:trPr>
          <w:cantSplit/>
          <w:trHeight w:hRule="exact" w:val="1009"/>
        </w:trPr>
        <w:tc>
          <w:tcPr>
            <w:tcW w:w="38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5A" w:rsidRPr="002A00EB" w:rsidRDefault="000D7FFB" w:rsidP="00D72689">
            <w:pPr>
              <w:jc w:val="center"/>
            </w:pPr>
            <w:r>
              <w:rPr>
                <w:sz w:val="22"/>
                <w:szCs w:val="22"/>
              </w:rPr>
              <w:t>TITLE OF THE COURSE</w:t>
            </w:r>
          </w:p>
        </w:tc>
        <w:tc>
          <w:tcPr>
            <w:tcW w:w="64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54F5A" w:rsidRPr="002A00EB" w:rsidRDefault="000D7FFB" w:rsidP="00D72689">
            <w:pPr>
              <w:jc w:val="center"/>
              <w:rPr>
                <w:b/>
              </w:rPr>
            </w:pPr>
            <w:r w:rsidRPr="000D7FFB">
              <w:rPr>
                <w:b/>
                <w:bCs/>
                <w:kern w:val="16"/>
                <w:sz w:val="32"/>
                <w:szCs w:val="36"/>
              </w:rPr>
              <w:t>Tax policy</w:t>
            </w:r>
          </w:p>
        </w:tc>
      </w:tr>
      <w:tr w:rsidR="00F54F5A" w:rsidRPr="002A00EB" w:rsidTr="00151421">
        <w:trPr>
          <w:cantSplit/>
          <w:trHeight w:hRule="exact" w:val="600"/>
        </w:trPr>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F5A" w:rsidRPr="002A00EB" w:rsidRDefault="000D7FFB" w:rsidP="00D72689">
            <w:pPr>
              <w:jc w:val="center"/>
            </w:pPr>
            <w:r>
              <w:rPr>
                <w:sz w:val="22"/>
                <w:szCs w:val="22"/>
              </w:rPr>
              <w:t>CREDIT POINTS</w:t>
            </w:r>
          </w:p>
        </w:tc>
        <w:tc>
          <w:tcPr>
            <w:tcW w:w="1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F5A" w:rsidRPr="002A00EB" w:rsidRDefault="00F54F5A" w:rsidP="00D72689">
            <w:r w:rsidRPr="002A00EB">
              <w:rPr>
                <w:b/>
                <w:sz w:val="22"/>
                <w:szCs w:val="22"/>
              </w:rPr>
              <w:t>2</w:t>
            </w:r>
            <w:r w:rsidRPr="002A00EB">
              <w:rPr>
                <w:sz w:val="22"/>
                <w:szCs w:val="22"/>
              </w:rPr>
              <w:t xml:space="preserve"> </w:t>
            </w:r>
            <w:proofErr w:type="spellStart"/>
            <w:r w:rsidR="00151421">
              <w:rPr>
                <w:sz w:val="22"/>
                <w:szCs w:val="22"/>
              </w:rPr>
              <w:t>credit</w:t>
            </w:r>
            <w:proofErr w:type="spellEnd"/>
            <w:r w:rsidR="00151421">
              <w:rPr>
                <w:sz w:val="22"/>
                <w:szCs w:val="22"/>
              </w:rPr>
              <w:t xml:space="preserve"> </w:t>
            </w:r>
            <w:proofErr w:type="spellStart"/>
            <w:r w:rsidR="00151421">
              <w:rPr>
                <w:sz w:val="22"/>
                <w:szCs w:val="22"/>
              </w:rPr>
              <w:t>points</w:t>
            </w:r>
            <w:proofErr w:type="spellEnd"/>
          </w:p>
          <w:p w:rsidR="00F54F5A" w:rsidRPr="002A00EB" w:rsidRDefault="00F54F5A" w:rsidP="00151421">
            <w:r w:rsidRPr="002A00EB">
              <w:rPr>
                <w:b/>
                <w:sz w:val="22"/>
                <w:szCs w:val="22"/>
              </w:rPr>
              <w:t>3</w:t>
            </w:r>
            <w:r w:rsidR="000D7FFB">
              <w:rPr>
                <w:sz w:val="22"/>
                <w:szCs w:val="22"/>
              </w:rPr>
              <w:t xml:space="preserve"> EC</w:t>
            </w:r>
            <w:r w:rsidR="00151421">
              <w:rPr>
                <w:sz w:val="22"/>
                <w:szCs w:val="22"/>
              </w:rPr>
              <w:t>T</w:t>
            </w:r>
            <w:r w:rsidRPr="002A00EB">
              <w:rPr>
                <w:sz w:val="22"/>
                <w:szCs w:val="22"/>
              </w:rPr>
              <w:t>S</w:t>
            </w:r>
            <w:r w:rsidR="00151421">
              <w:rPr>
                <w:sz w:val="22"/>
                <w:szCs w:val="22"/>
              </w:rPr>
              <w:t xml:space="preserve"> </w:t>
            </w:r>
            <w:proofErr w:type="spellStart"/>
            <w:r w:rsidR="00151421">
              <w:rPr>
                <w:sz w:val="22"/>
                <w:szCs w:val="22"/>
              </w:rPr>
              <w:t>credits</w:t>
            </w:r>
            <w:proofErr w:type="spellEnd"/>
          </w:p>
        </w:tc>
        <w:tc>
          <w:tcPr>
            <w:tcW w:w="49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5A" w:rsidRPr="002A00EB" w:rsidRDefault="000D7FFB" w:rsidP="00D72689">
            <w:pPr>
              <w:jc w:val="center"/>
              <w:rPr>
                <w:bCs/>
              </w:rPr>
            </w:pPr>
            <w:r w:rsidRPr="000D7FFB">
              <w:rPr>
                <w:bCs/>
                <w:sz w:val="22"/>
                <w:szCs w:val="22"/>
              </w:rPr>
              <w:t>VOLUME</w:t>
            </w:r>
            <w:r w:rsidRPr="000D7FFB">
              <w:rPr>
                <w:bCs/>
                <w:i/>
                <w:sz w:val="22"/>
                <w:szCs w:val="22"/>
              </w:rPr>
              <w:t xml:space="preserve"> (in hours)</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F54F5A" w:rsidRPr="002A00EB" w:rsidRDefault="00F54F5A" w:rsidP="00D72689">
            <w:pPr>
              <w:jc w:val="center"/>
              <w:rPr>
                <w:b/>
              </w:rPr>
            </w:pPr>
          </w:p>
        </w:tc>
      </w:tr>
      <w:tr w:rsidR="00F54F5A" w:rsidRPr="002A00EB" w:rsidTr="00151421">
        <w:trPr>
          <w:cantSplit/>
          <w:trHeight w:hRule="exact" w:val="535"/>
        </w:trPr>
        <w:tc>
          <w:tcPr>
            <w:tcW w:w="3828" w:type="dxa"/>
            <w:gridSpan w:val="4"/>
            <w:tcBorders>
              <w:top w:val="single" w:sz="4" w:space="0" w:color="auto"/>
              <w:left w:val="single" w:sz="4" w:space="0" w:color="auto"/>
              <w:bottom w:val="single" w:sz="4" w:space="0" w:color="auto"/>
              <w:right w:val="nil"/>
            </w:tcBorders>
            <w:shd w:val="clear" w:color="auto" w:fill="auto"/>
            <w:vAlign w:val="center"/>
          </w:tcPr>
          <w:p w:rsidR="00F54F5A" w:rsidRPr="002A00EB" w:rsidRDefault="000D7FFB" w:rsidP="00D72689">
            <w:pPr>
              <w:jc w:val="center"/>
              <w:rPr>
                <w:bCs/>
                <w:i/>
                <w:iCs/>
              </w:rPr>
            </w:pPr>
            <w:r>
              <w:rPr>
                <w:sz w:val="22"/>
                <w:szCs w:val="22"/>
              </w:rPr>
              <w:t>PRELIMINARY KNOWLEDGE</w:t>
            </w:r>
          </w:p>
        </w:tc>
        <w:tc>
          <w:tcPr>
            <w:tcW w:w="64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54F5A" w:rsidRPr="002A00EB" w:rsidRDefault="000D7FFB" w:rsidP="00D72689">
            <w:pPr>
              <w:jc w:val="center"/>
            </w:pPr>
            <w:r w:rsidRPr="000D7FFB">
              <w:rPr>
                <w:sz w:val="22"/>
                <w:szCs w:val="22"/>
              </w:rPr>
              <w:t>Not required</w:t>
            </w:r>
          </w:p>
        </w:tc>
      </w:tr>
      <w:tr w:rsidR="00F54F5A" w:rsidRPr="002A00EB" w:rsidTr="00151421">
        <w:trPr>
          <w:cantSplit/>
          <w:trHeight w:hRule="exact" w:val="520"/>
        </w:trPr>
        <w:tc>
          <w:tcPr>
            <w:tcW w:w="38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5A" w:rsidRPr="002A00EB" w:rsidRDefault="000D7FFB" w:rsidP="00D72689">
            <w:pPr>
              <w:jc w:val="center"/>
            </w:pPr>
            <w:r>
              <w:rPr>
                <w:sz w:val="22"/>
                <w:szCs w:val="22"/>
              </w:rPr>
              <w:t>SCIENCE SECTOR</w:t>
            </w:r>
          </w:p>
        </w:tc>
        <w:tc>
          <w:tcPr>
            <w:tcW w:w="6432" w:type="dxa"/>
            <w:gridSpan w:val="5"/>
            <w:tcBorders>
              <w:top w:val="single" w:sz="4" w:space="0" w:color="auto"/>
              <w:left w:val="nil"/>
              <w:bottom w:val="nil"/>
              <w:right w:val="single" w:sz="4" w:space="0" w:color="auto"/>
            </w:tcBorders>
            <w:shd w:val="clear" w:color="auto" w:fill="auto"/>
            <w:vAlign w:val="center"/>
          </w:tcPr>
          <w:p w:rsidR="00F54F5A" w:rsidRPr="002A00EB" w:rsidRDefault="000D7FFB" w:rsidP="00D72689">
            <w:pPr>
              <w:jc w:val="center"/>
            </w:pPr>
            <w:r w:rsidRPr="000D7FFB">
              <w:rPr>
                <w:sz w:val="22"/>
                <w:szCs w:val="22"/>
              </w:rPr>
              <w:t>Sociology / Social work / Economics</w:t>
            </w:r>
          </w:p>
        </w:tc>
      </w:tr>
      <w:tr w:rsidR="00F54F5A" w:rsidRPr="002A00EB" w:rsidTr="00D72689">
        <w:trPr>
          <w:cantSplit/>
          <w:trHeight w:hRule="exact" w:val="400"/>
        </w:trPr>
        <w:tc>
          <w:tcPr>
            <w:tcW w:w="88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4F5A" w:rsidRPr="002A00EB" w:rsidRDefault="000D7FFB" w:rsidP="00D72689">
            <w:r w:rsidRPr="000D7FFB">
              <w:rPr>
                <w:sz w:val="22"/>
                <w:szCs w:val="22"/>
              </w:rPr>
              <w:t>NUMBER OF LECTURE</w:t>
            </w:r>
            <w:r>
              <w:rPr>
                <w:sz w:val="22"/>
                <w:szCs w:val="22"/>
              </w:rPr>
              <w:t>S</w:t>
            </w:r>
            <w:r w:rsidRPr="000D7FFB">
              <w:rPr>
                <w:sz w:val="22"/>
                <w:szCs w:val="22"/>
              </w:rPr>
              <w:t xml:space="preserve"> </w:t>
            </w:r>
            <w:r w:rsidR="00F54F5A" w:rsidRPr="002A00EB">
              <w:rPr>
                <w:sz w:val="22"/>
                <w:szCs w:val="22"/>
              </w:rPr>
              <w:t>30%</w:t>
            </w:r>
          </w:p>
        </w:tc>
        <w:tc>
          <w:tcPr>
            <w:tcW w:w="1441" w:type="dxa"/>
            <w:tcBorders>
              <w:top w:val="single" w:sz="4" w:space="0" w:color="auto"/>
              <w:left w:val="nil"/>
              <w:bottom w:val="single" w:sz="4" w:space="0" w:color="auto"/>
              <w:right w:val="single" w:sz="4" w:space="0" w:color="auto"/>
            </w:tcBorders>
            <w:shd w:val="clear" w:color="auto" w:fill="auto"/>
            <w:vAlign w:val="center"/>
          </w:tcPr>
          <w:p w:rsidR="00F54F5A" w:rsidRPr="002A00EB" w:rsidRDefault="00F54F5A" w:rsidP="00D72689">
            <w:pPr>
              <w:jc w:val="center"/>
              <w:rPr>
                <w:b/>
              </w:rPr>
            </w:pPr>
          </w:p>
        </w:tc>
      </w:tr>
      <w:tr w:rsidR="00F54F5A" w:rsidRPr="002A00EB" w:rsidTr="00D72689">
        <w:trPr>
          <w:cantSplit/>
          <w:trHeight w:hRule="exact" w:val="400"/>
        </w:trPr>
        <w:tc>
          <w:tcPr>
            <w:tcW w:w="88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4F5A" w:rsidRPr="002A00EB" w:rsidRDefault="000D7FFB" w:rsidP="000D7FFB">
            <w:pPr>
              <w:rPr>
                <w:bCs/>
              </w:rPr>
            </w:pPr>
            <w:r w:rsidRPr="000D7FFB">
              <w:rPr>
                <w:bCs/>
                <w:sz w:val="22"/>
                <w:szCs w:val="22"/>
              </w:rPr>
              <w:t xml:space="preserve">NUMBER OF SEMINARS OR PRACTICAL TRAINING  </w:t>
            </w:r>
            <w:r w:rsidR="00F54F5A" w:rsidRPr="002A00EB">
              <w:rPr>
                <w:sz w:val="22"/>
                <w:szCs w:val="22"/>
              </w:rPr>
              <w:t>30%</w:t>
            </w:r>
          </w:p>
        </w:tc>
        <w:tc>
          <w:tcPr>
            <w:tcW w:w="1441" w:type="dxa"/>
            <w:tcBorders>
              <w:top w:val="single" w:sz="4" w:space="0" w:color="auto"/>
              <w:left w:val="nil"/>
              <w:bottom w:val="single" w:sz="4" w:space="0" w:color="auto"/>
              <w:right w:val="single" w:sz="4" w:space="0" w:color="auto"/>
            </w:tcBorders>
            <w:shd w:val="clear" w:color="auto" w:fill="auto"/>
            <w:vAlign w:val="center"/>
          </w:tcPr>
          <w:p w:rsidR="00F54F5A" w:rsidRPr="002A00EB" w:rsidRDefault="00F54F5A" w:rsidP="00D72689">
            <w:pPr>
              <w:jc w:val="center"/>
              <w:rPr>
                <w:b/>
              </w:rPr>
            </w:pPr>
          </w:p>
        </w:tc>
      </w:tr>
      <w:tr w:rsidR="00F54F5A" w:rsidRPr="002A00EB" w:rsidTr="00D72689">
        <w:trPr>
          <w:cantSplit/>
          <w:trHeight w:hRule="exact" w:val="400"/>
        </w:trPr>
        <w:tc>
          <w:tcPr>
            <w:tcW w:w="88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4F5A" w:rsidRPr="002A00EB" w:rsidRDefault="000D7FFB" w:rsidP="000D7FFB">
            <w:pPr>
              <w:rPr>
                <w:bCs/>
              </w:rPr>
            </w:pPr>
            <w:r w:rsidRPr="000D7FFB">
              <w:rPr>
                <w:bCs/>
                <w:sz w:val="22"/>
                <w:szCs w:val="22"/>
              </w:rPr>
              <w:t xml:space="preserve">NUMBER OF HOURS FOR </w:t>
            </w:r>
            <w:r>
              <w:rPr>
                <w:bCs/>
                <w:sz w:val="22"/>
                <w:szCs w:val="22"/>
              </w:rPr>
              <w:t>UNAIDED</w:t>
            </w:r>
            <w:r w:rsidRPr="000D7FFB">
              <w:rPr>
                <w:bCs/>
                <w:sz w:val="22"/>
                <w:szCs w:val="22"/>
              </w:rPr>
              <w:t xml:space="preserve"> WORK </w:t>
            </w:r>
            <w:r w:rsidR="00F54F5A" w:rsidRPr="002A00EB">
              <w:rPr>
                <w:sz w:val="22"/>
                <w:szCs w:val="22"/>
              </w:rPr>
              <w:t>40%</w:t>
            </w:r>
          </w:p>
        </w:tc>
        <w:tc>
          <w:tcPr>
            <w:tcW w:w="1441" w:type="dxa"/>
            <w:tcBorders>
              <w:top w:val="single" w:sz="4" w:space="0" w:color="auto"/>
              <w:left w:val="nil"/>
              <w:bottom w:val="single" w:sz="4" w:space="0" w:color="auto"/>
              <w:right w:val="single" w:sz="4" w:space="0" w:color="auto"/>
            </w:tcBorders>
            <w:shd w:val="clear" w:color="auto" w:fill="auto"/>
            <w:vAlign w:val="center"/>
          </w:tcPr>
          <w:p w:rsidR="00F54F5A" w:rsidRPr="002A00EB" w:rsidRDefault="00F54F5A" w:rsidP="00D72689">
            <w:pPr>
              <w:jc w:val="center"/>
              <w:rPr>
                <w:b/>
              </w:rPr>
            </w:pPr>
          </w:p>
        </w:tc>
      </w:tr>
      <w:tr w:rsidR="00F54F5A" w:rsidRPr="002A00EB" w:rsidTr="00B97425">
        <w:trPr>
          <w:cantSplit/>
          <w:trHeight w:val="623"/>
        </w:trPr>
        <w:tc>
          <w:tcPr>
            <w:tcW w:w="2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F5A" w:rsidRPr="002A00EB" w:rsidRDefault="000D7FFB" w:rsidP="00D72689">
            <w:pPr>
              <w:jc w:val="center"/>
              <w:rPr>
                <w:bCs/>
              </w:rPr>
            </w:pPr>
            <w:r w:rsidRPr="000D7FFB">
              <w:rPr>
                <w:bCs/>
                <w:sz w:val="22"/>
                <w:szCs w:val="22"/>
              </w:rPr>
              <w:t>APPROVED:</w:t>
            </w:r>
          </w:p>
        </w:tc>
        <w:tc>
          <w:tcPr>
            <w:tcW w:w="4817" w:type="dxa"/>
            <w:gridSpan w:val="4"/>
            <w:tcBorders>
              <w:top w:val="single" w:sz="4" w:space="0" w:color="auto"/>
              <w:left w:val="nil"/>
              <w:bottom w:val="single" w:sz="4" w:space="0" w:color="auto"/>
              <w:right w:val="single" w:sz="4" w:space="0" w:color="auto"/>
            </w:tcBorders>
            <w:shd w:val="clear" w:color="auto" w:fill="auto"/>
            <w:vAlign w:val="center"/>
          </w:tcPr>
          <w:p w:rsidR="00F54F5A" w:rsidRPr="002A00EB" w:rsidRDefault="000D7FFB" w:rsidP="00151421">
            <w:pPr>
              <w:jc w:val="center"/>
            </w:pPr>
            <w:r>
              <w:rPr>
                <w:sz w:val="22"/>
                <w:szCs w:val="22"/>
              </w:rPr>
              <w:t xml:space="preserve">LCA </w:t>
            </w:r>
            <w:proofErr w:type="spellStart"/>
            <w:r>
              <w:rPr>
                <w:sz w:val="22"/>
                <w:szCs w:val="22"/>
              </w:rPr>
              <w:t>Senate</w:t>
            </w:r>
            <w:proofErr w:type="spellEnd"/>
            <w:r>
              <w:rPr>
                <w:sz w:val="22"/>
                <w:szCs w:val="22"/>
              </w:rPr>
              <w:t xml:space="preserve"> </w:t>
            </w:r>
            <w:proofErr w:type="spellStart"/>
            <w:r>
              <w:rPr>
                <w:sz w:val="22"/>
                <w:szCs w:val="22"/>
              </w:rPr>
              <w:t>meeting</w:t>
            </w:r>
            <w:proofErr w:type="spellEnd"/>
            <w:r>
              <w:rPr>
                <w:sz w:val="22"/>
                <w:szCs w:val="22"/>
              </w:rPr>
              <w:t xml:space="preserve"> no</w:t>
            </w:r>
            <w:r w:rsidR="00F54F5A" w:rsidRPr="002A00EB">
              <w:rPr>
                <w:sz w:val="22"/>
                <w:szCs w:val="22"/>
              </w:rPr>
              <w:t>.6</w:t>
            </w:r>
          </w:p>
        </w:tc>
        <w:tc>
          <w:tcPr>
            <w:tcW w:w="1844" w:type="dxa"/>
            <w:gridSpan w:val="2"/>
            <w:tcBorders>
              <w:top w:val="single" w:sz="4" w:space="0" w:color="auto"/>
              <w:left w:val="nil"/>
              <w:bottom w:val="single" w:sz="4" w:space="0" w:color="auto"/>
              <w:right w:val="single" w:sz="4" w:space="0" w:color="auto"/>
            </w:tcBorders>
            <w:shd w:val="clear" w:color="auto" w:fill="auto"/>
            <w:vAlign w:val="center"/>
          </w:tcPr>
          <w:p w:rsidR="00F54F5A" w:rsidRPr="002A00EB" w:rsidRDefault="00F54F5A" w:rsidP="000D7FFB">
            <w:pPr>
              <w:jc w:val="center"/>
              <w:rPr>
                <w:bCs/>
              </w:rPr>
            </w:pPr>
          </w:p>
        </w:tc>
        <w:tc>
          <w:tcPr>
            <w:tcW w:w="1441" w:type="dxa"/>
            <w:tcBorders>
              <w:top w:val="single" w:sz="4" w:space="0" w:color="auto"/>
              <w:left w:val="nil"/>
              <w:bottom w:val="single" w:sz="4" w:space="0" w:color="auto"/>
              <w:right w:val="single" w:sz="4" w:space="0" w:color="auto"/>
            </w:tcBorders>
            <w:shd w:val="clear" w:color="auto" w:fill="auto"/>
            <w:vAlign w:val="center"/>
          </w:tcPr>
          <w:p w:rsidR="00F54F5A" w:rsidRPr="002A00EB" w:rsidRDefault="00F54F5A" w:rsidP="00D72689">
            <w:pPr>
              <w:jc w:val="center"/>
            </w:pPr>
            <w:r w:rsidRPr="002A00EB">
              <w:rPr>
                <w:sz w:val="22"/>
                <w:szCs w:val="22"/>
              </w:rPr>
              <w:t>09.06.2021.</w:t>
            </w:r>
          </w:p>
        </w:tc>
      </w:tr>
      <w:tr w:rsidR="00F54F5A" w:rsidRPr="002A00EB" w:rsidTr="00D72689">
        <w:trPr>
          <w:cantSplit/>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F54F5A" w:rsidRPr="002A00EB" w:rsidRDefault="000D7FFB" w:rsidP="00D72689">
            <w:pPr>
              <w:jc w:val="center"/>
              <w:rPr>
                <w:bCs/>
              </w:rPr>
            </w:pPr>
            <w:r>
              <w:rPr>
                <w:bCs/>
                <w:sz w:val="22"/>
                <w:szCs w:val="22"/>
              </w:rPr>
              <w:t>AUTHOR</w:t>
            </w:r>
          </w:p>
        </w:tc>
      </w:tr>
      <w:tr w:rsidR="00F54F5A" w:rsidRPr="002A00EB" w:rsidTr="00D72689">
        <w:trPr>
          <w:cantSplit/>
        </w:trPr>
        <w:tc>
          <w:tcPr>
            <w:tcW w:w="6117" w:type="dxa"/>
            <w:gridSpan w:val="5"/>
            <w:tcBorders>
              <w:top w:val="nil"/>
              <w:left w:val="nil"/>
              <w:bottom w:val="nil"/>
              <w:right w:val="single" w:sz="4" w:space="0" w:color="auto"/>
            </w:tcBorders>
            <w:shd w:val="clear" w:color="auto" w:fill="auto"/>
          </w:tcPr>
          <w:p w:rsidR="00F54F5A" w:rsidRPr="002A00EB" w:rsidRDefault="000D7FFB" w:rsidP="00D72689">
            <w:pPr>
              <w:jc w:val="center"/>
              <w:rPr>
                <w:bCs/>
              </w:rPr>
            </w:pPr>
            <w:r w:rsidRPr="000D7FFB">
              <w:rPr>
                <w:bCs/>
                <w:sz w:val="22"/>
                <w:szCs w:val="22"/>
              </w:rPr>
              <w:t>Academic position</w:t>
            </w:r>
          </w:p>
        </w:tc>
        <w:tc>
          <w:tcPr>
            <w:tcW w:w="4143" w:type="dxa"/>
            <w:gridSpan w:val="4"/>
            <w:tcBorders>
              <w:top w:val="nil"/>
              <w:left w:val="nil"/>
              <w:bottom w:val="nil"/>
              <w:right w:val="single" w:sz="4" w:space="0" w:color="auto"/>
            </w:tcBorders>
            <w:shd w:val="clear" w:color="auto" w:fill="auto"/>
            <w:vAlign w:val="center"/>
          </w:tcPr>
          <w:p w:rsidR="00F54F5A" w:rsidRPr="002A00EB" w:rsidRDefault="000D7FFB" w:rsidP="00D72689">
            <w:pPr>
              <w:jc w:val="center"/>
              <w:rPr>
                <w:bCs/>
              </w:rPr>
            </w:pPr>
            <w:r w:rsidRPr="000D7FFB">
              <w:rPr>
                <w:bCs/>
                <w:sz w:val="22"/>
                <w:szCs w:val="22"/>
              </w:rPr>
              <w:t>Name, surname</w:t>
            </w:r>
          </w:p>
        </w:tc>
      </w:tr>
      <w:tr w:rsidR="00F54F5A" w:rsidRPr="002A00EB" w:rsidTr="00D72689">
        <w:trPr>
          <w:cantSplit/>
          <w:trHeight w:val="315"/>
        </w:trPr>
        <w:tc>
          <w:tcPr>
            <w:tcW w:w="6117" w:type="dxa"/>
            <w:gridSpan w:val="5"/>
            <w:tcBorders>
              <w:top w:val="single" w:sz="4" w:space="0" w:color="auto"/>
              <w:left w:val="single" w:sz="4" w:space="0" w:color="auto"/>
              <w:bottom w:val="single" w:sz="4" w:space="0" w:color="auto"/>
              <w:right w:val="nil"/>
            </w:tcBorders>
            <w:shd w:val="clear" w:color="auto" w:fill="auto"/>
          </w:tcPr>
          <w:p w:rsidR="00F54F5A" w:rsidRPr="002A00EB" w:rsidRDefault="00151421" w:rsidP="00D72689">
            <w:proofErr w:type="spellStart"/>
            <w:r>
              <w:t>Guest</w:t>
            </w:r>
            <w:proofErr w:type="spellEnd"/>
            <w:r>
              <w:t xml:space="preserve"> </w:t>
            </w:r>
            <w:proofErr w:type="spellStart"/>
            <w:r>
              <w:t>lecturer</w:t>
            </w:r>
            <w:proofErr w:type="spellEnd"/>
          </w:p>
        </w:tc>
        <w:tc>
          <w:tcPr>
            <w:tcW w:w="4143" w:type="dxa"/>
            <w:gridSpan w:val="4"/>
            <w:tcBorders>
              <w:top w:val="single" w:sz="4" w:space="0" w:color="auto"/>
              <w:left w:val="single" w:sz="4" w:space="0" w:color="auto"/>
              <w:bottom w:val="single" w:sz="4" w:space="0" w:color="auto"/>
              <w:right w:val="single" w:sz="4" w:space="0" w:color="auto"/>
            </w:tcBorders>
            <w:shd w:val="clear" w:color="auto" w:fill="auto"/>
          </w:tcPr>
          <w:p w:rsidR="00F54F5A" w:rsidRPr="002A00EB" w:rsidRDefault="00151421" w:rsidP="00D72689">
            <w:pPr>
              <w:jc w:val="both"/>
            </w:pPr>
            <w:r>
              <w:t>Ingrīda Jespere</w:t>
            </w:r>
          </w:p>
        </w:tc>
      </w:tr>
      <w:tr w:rsidR="00F54F5A" w:rsidRPr="002A00EB" w:rsidTr="00D72689">
        <w:trPr>
          <w:cantSplit/>
          <w:trHeight w:val="253"/>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F54F5A" w:rsidRPr="002A00EB" w:rsidRDefault="000D7FFB" w:rsidP="00D72689">
            <w:pPr>
              <w:jc w:val="center"/>
            </w:pPr>
            <w:r w:rsidRPr="000D7FFB">
              <w:rPr>
                <w:sz w:val="22"/>
                <w:szCs w:val="22"/>
              </w:rPr>
              <w:t>COURSE ANNOTATION</w:t>
            </w:r>
          </w:p>
        </w:tc>
      </w:tr>
      <w:tr w:rsidR="00F54F5A" w:rsidRPr="002A00EB" w:rsidTr="002A00EB">
        <w:trPr>
          <w:cantSplit/>
          <w:trHeight w:val="1020"/>
        </w:trPr>
        <w:tc>
          <w:tcPr>
            <w:tcW w:w="10260" w:type="dxa"/>
            <w:gridSpan w:val="9"/>
            <w:tcBorders>
              <w:top w:val="single" w:sz="4" w:space="0" w:color="auto"/>
              <w:left w:val="single" w:sz="4" w:space="0" w:color="auto"/>
              <w:bottom w:val="nil"/>
              <w:right w:val="single" w:sz="4" w:space="0" w:color="auto"/>
            </w:tcBorders>
            <w:shd w:val="clear" w:color="auto" w:fill="auto"/>
          </w:tcPr>
          <w:p w:rsidR="00F54F5A" w:rsidRPr="002A00EB" w:rsidRDefault="000D7FFB" w:rsidP="00D72689">
            <w:pPr>
              <w:jc w:val="both"/>
            </w:pPr>
            <w:r w:rsidRPr="000D7FFB">
              <w:rPr>
                <w:kern w:val="16"/>
                <w:sz w:val="22"/>
                <w:lang w:bidi="km-KH"/>
              </w:rPr>
              <w:t>The aim of the course is to provide an in-depth understanding of the tax system in the national economy, as well as to build competence in the principles and experience of tax policy design in the national and EU context. The course analyses approaches to the operation of tax systems in national and international business environments and provides skills to critically evaluate tax policy in a specific economic situation. The course provides both theoretical knowledge and its practical application.</w:t>
            </w:r>
          </w:p>
        </w:tc>
      </w:tr>
      <w:tr w:rsidR="00F54F5A" w:rsidRPr="002A00EB" w:rsidTr="00D72689">
        <w:trPr>
          <w:cantSplit/>
        </w:trPr>
        <w:tc>
          <w:tcPr>
            <w:tcW w:w="10260" w:type="dxa"/>
            <w:gridSpan w:val="9"/>
            <w:tcBorders>
              <w:top w:val="single" w:sz="4" w:space="0" w:color="auto"/>
              <w:left w:val="single" w:sz="4" w:space="0" w:color="auto"/>
              <w:bottom w:val="nil"/>
              <w:right w:val="single" w:sz="4" w:space="0" w:color="auto"/>
            </w:tcBorders>
            <w:shd w:val="clear" w:color="auto" w:fill="auto"/>
          </w:tcPr>
          <w:p w:rsidR="00F54F5A" w:rsidRPr="002A00EB" w:rsidRDefault="000D7FFB" w:rsidP="00D72689">
            <w:pPr>
              <w:jc w:val="center"/>
            </w:pPr>
            <w:r>
              <w:rPr>
                <w:sz w:val="22"/>
                <w:szCs w:val="22"/>
              </w:rPr>
              <w:t>THE GOAL OF THE COURSE AND LEARNING OUTCOMES</w:t>
            </w:r>
          </w:p>
        </w:tc>
      </w:tr>
      <w:tr w:rsidR="002A00EB" w:rsidRPr="002A00EB" w:rsidTr="002A00EB">
        <w:trPr>
          <w:trHeight w:val="307"/>
        </w:trPr>
        <w:tc>
          <w:tcPr>
            <w:tcW w:w="2297" w:type="dxa"/>
            <w:gridSpan w:val="3"/>
            <w:tcBorders>
              <w:top w:val="single" w:sz="4" w:space="0" w:color="auto"/>
              <w:left w:val="single" w:sz="4" w:space="0" w:color="auto"/>
              <w:bottom w:val="single" w:sz="4" w:space="0" w:color="auto"/>
              <w:right w:val="single" w:sz="4" w:space="0" w:color="auto"/>
            </w:tcBorders>
            <w:shd w:val="clear" w:color="auto" w:fill="auto"/>
          </w:tcPr>
          <w:p w:rsidR="002A00EB" w:rsidRPr="002A00EB" w:rsidRDefault="000D7FFB" w:rsidP="002A00EB">
            <w:pPr>
              <w:rPr>
                <w:i/>
              </w:rPr>
            </w:pPr>
            <w:r w:rsidRPr="000D7FFB">
              <w:rPr>
                <w:i/>
                <w:sz w:val="22"/>
                <w:szCs w:val="22"/>
              </w:rPr>
              <w:t>Knowledge and understanding</w:t>
            </w:r>
          </w:p>
        </w:tc>
        <w:tc>
          <w:tcPr>
            <w:tcW w:w="7963" w:type="dxa"/>
            <w:gridSpan w:val="6"/>
            <w:tcBorders>
              <w:top w:val="single" w:sz="4" w:space="0" w:color="auto"/>
              <w:left w:val="single" w:sz="4" w:space="0" w:color="auto"/>
              <w:bottom w:val="single" w:sz="4" w:space="0" w:color="auto"/>
              <w:right w:val="single" w:sz="4" w:space="0" w:color="auto"/>
            </w:tcBorders>
            <w:shd w:val="clear" w:color="auto" w:fill="auto"/>
          </w:tcPr>
          <w:p w:rsidR="002A00EB" w:rsidRPr="002A00EB" w:rsidRDefault="000D7FFB" w:rsidP="002A00EB">
            <w:r w:rsidRPr="000D7FFB">
              <w:rPr>
                <w:bCs/>
                <w:kern w:val="16"/>
                <w:sz w:val="22"/>
                <w:lang w:bidi="km-KH"/>
              </w:rPr>
              <w:t>Knowledge of the content of tax policy and the instruments used to make it.</w:t>
            </w:r>
          </w:p>
        </w:tc>
      </w:tr>
      <w:tr w:rsidR="002A00EB" w:rsidRPr="002A00EB" w:rsidTr="002A00EB">
        <w:trPr>
          <w:trHeight w:val="301"/>
        </w:trPr>
        <w:tc>
          <w:tcPr>
            <w:tcW w:w="2297" w:type="dxa"/>
            <w:gridSpan w:val="3"/>
            <w:tcBorders>
              <w:top w:val="single" w:sz="4" w:space="0" w:color="auto"/>
              <w:left w:val="single" w:sz="4" w:space="0" w:color="auto"/>
              <w:bottom w:val="single" w:sz="4" w:space="0" w:color="auto"/>
              <w:right w:val="single" w:sz="4" w:space="0" w:color="auto"/>
            </w:tcBorders>
            <w:shd w:val="clear" w:color="auto" w:fill="auto"/>
          </w:tcPr>
          <w:p w:rsidR="002A00EB" w:rsidRPr="002A00EB" w:rsidRDefault="000D7FFB" w:rsidP="002A00EB">
            <w:pPr>
              <w:rPr>
                <w:i/>
              </w:rPr>
            </w:pPr>
            <w:r w:rsidRPr="000D7FFB">
              <w:rPr>
                <w:i/>
                <w:sz w:val="22"/>
                <w:szCs w:val="22"/>
              </w:rPr>
              <w:t>Ability to apply knowledge</w:t>
            </w:r>
          </w:p>
        </w:tc>
        <w:tc>
          <w:tcPr>
            <w:tcW w:w="7963" w:type="dxa"/>
            <w:gridSpan w:val="6"/>
            <w:tcBorders>
              <w:top w:val="single" w:sz="4" w:space="0" w:color="auto"/>
              <w:left w:val="single" w:sz="4" w:space="0" w:color="auto"/>
              <w:bottom w:val="single" w:sz="4" w:space="0" w:color="auto"/>
              <w:right w:val="single" w:sz="4" w:space="0" w:color="auto"/>
            </w:tcBorders>
            <w:shd w:val="clear" w:color="auto" w:fill="auto"/>
          </w:tcPr>
          <w:p w:rsidR="002A00EB" w:rsidRPr="002A00EB" w:rsidRDefault="000D7FFB" w:rsidP="002A00EB">
            <w:r w:rsidRPr="000D7FFB">
              <w:rPr>
                <w:bCs/>
                <w:kern w:val="16"/>
                <w:sz w:val="22"/>
                <w:lang w:bidi="km-KH"/>
              </w:rPr>
              <w:t>Ability to evaluate and analyse national and EU tax policy in its various aspects.</w:t>
            </w:r>
          </w:p>
        </w:tc>
      </w:tr>
      <w:tr w:rsidR="002A00EB" w:rsidRPr="002A00EB" w:rsidTr="002A00EB">
        <w:trPr>
          <w:trHeight w:val="301"/>
        </w:trPr>
        <w:tc>
          <w:tcPr>
            <w:tcW w:w="2297" w:type="dxa"/>
            <w:gridSpan w:val="3"/>
            <w:tcBorders>
              <w:top w:val="single" w:sz="4" w:space="0" w:color="auto"/>
              <w:left w:val="single" w:sz="4" w:space="0" w:color="auto"/>
              <w:bottom w:val="single" w:sz="4" w:space="0" w:color="auto"/>
              <w:right w:val="single" w:sz="4" w:space="0" w:color="auto"/>
            </w:tcBorders>
            <w:shd w:val="clear" w:color="auto" w:fill="auto"/>
          </w:tcPr>
          <w:p w:rsidR="002A00EB" w:rsidRPr="002A00EB" w:rsidRDefault="000D7FFB" w:rsidP="002A00EB">
            <w:pPr>
              <w:rPr>
                <w:i/>
              </w:rPr>
            </w:pPr>
            <w:r w:rsidRPr="000D7FFB">
              <w:rPr>
                <w:i/>
                <w:sz w:val="22"/>
                <w:szCs w:val="22"/>
              </w:rPr>
              <w:t>Competences</w:t>
            </w:r>
          </w:p>
        </w:tc>
        <w:tc>
          <w:tcPr>
            <w:tcW w:w="7963" w:type="dxa"/>
            <w:gridSpan w:val="6"/>
            <w:tcBorders>
              <w:top w:val="single" w:sz="4" w:space="0" w:color="auto"/>
              <w:left w:val="single" w:sz="4" w:space="0" w:color="auto"/>
              <w:bottom w:val="single" w:sz="4" w:space="0" w:color="auto"/>
              <w:right w:val="single" w:sz="4" w:space="0" w:color="auto"/>
            </w:tcBorders>
            <w:shd w:val="clear" w:color="auto" w:fill="auto"/>
          </w:tcPr>
          <w:p w:rsidR="002A00EB" w:rsidRPr="002A00EB" w:rsidRDefault="000D7FFB" w:rsidP="002A00EB">
            <w:pPr>
              <w:rPr>
                <w:bCs/>
                <w:kern w:val="16"/>
                <w:lang w:bidi="km-KH"/>
              </w:rPr>
            </w:pPr>
            <w:r w:rsidRPr="000D7FFB">
              <w:rPr>
                <w:bCs/>
                <w:kern w:val="16"/>
                <w:sz w:val="22"/>
                <w:lang w:bidi="km-KH"/>
              </w:rPr>
              <w:t>Ability to compare different approaches to the operation of tax systems in national and international business environments.</w:t>
            </w:r>
          </w:p>
        </w:tc>
      </w:tr>
      <w:tr w:rsidR="00F54F5A" w:rsidRPr="002A00EB" w:rsidTr="00D72689">
        <w:trPr>
          <w:cantSplit/>
        </w:trPr>
        <w:tc>
          <w:tcPr>
            <w:tcW w:w="10260" w:type="dxa"/>
            <w:gridSpan w:val="9"/>
            <w:tcBorders>
              <w:top w:val="single" w:sz="4" w:space="0" w:color="auto"/>
              <w:left w:val="single" w:sz="4" w:space="0" w:color="auto"/>
              <w:bottom w:val="nil"/>
              <w:right w:val="single" w:sz="4" w:space="0" w:color="auto"/>
            </w:tcBorders>
            <w:shd w:val="clear" w:color="auto" w:fill="auto"/>
          </w:tcPr>
          <w:p w:rsidR="00F54F5A" w:rsidRPr="002A00EB" w:rsidRDefault="00AD3D7F" w:rsidP="00D72689">
            <w:pPr>
              <w:jc w:val="center"/>
            </w:pPr>
            <w:r w:rsidRPr="00AD3D7F">
              <w:rPr>
                <w:sz w:val="22"/>
                <w:szCs w:val="22"/>
              </w:rPr>
              <w:t>REQUIREMENTS FOR CREDIT</w:t>
            </w:r>
            <w:r>
              <w:rPr>
                <w:sz w:val="22"/>
                <w:szCs w:val="22"/>
              </w:rPr>
              <w:t xml:space="preserve"> POINTS</w:t>
            </w:r>
          </w:p>
        </w:tc>
      </w:tr>
      <w:tr w:rsidR="00F54F5A" w:rsidRPr="002A00EB" w:rsidTr="002A00EB">
        <w:trPr>
          <w:trHeight w:val="711"/>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AD3D7F" w:rsidRPr="00AD3D7F" w:rsidRDefault="00AD3D7F" w:rsidP="00AD3D7F">
            <w:pPr>
              <w:spacing w:line="20" w:lineRule="atLeast"/>
              <w:jc w:val="both"/>
              <w:rPr>
                <w:kern w:val="16"/>
                <w:sz w:val="23"/>
                <w:szCs w:val="23"/>
              </w:rPr>
            </w:pPr>
            <w:r w:rsidRPr="00AD3D7F">
              <w:rPr>
                <w:kern w:val="16"/>
                <w:sz w:val="23"/>
                <w:szCs w:val="23"/>
              </w:rPr>
              <w:t xml:space="preserve">1) Participation in contact sessions </w:t>
            </w:r>
            <w:proofErr w:type="spellStart"/>
            <w:r w:rsidRPr="00AD3D7F">
              <w:rPr>
                <w:kern w:val="16"/>
                <w:sz w:val="23"/>
                <w:szCs w:val="23"/>
              </w:rPr>
              <w:t>and</w:t>
            </w:r>
            <w:proofErr w:type="spellEnd"/>
            <w:r w:rsidRPr="00AD3D7F">
              <w:rPr>
                <w:kern w:val="16"/>
                <w:sz w:val="23"/>
                <w:szCs w:val="23"/>
              </w:rPr>
              <w:t xml:space="preserve"> </w:t>
            </w:r>
            <w:proofErr w:type="spellStart"/>
            <w:r w:rsidRPr="00AD3D7F">
              <w:rPr>
                <w:kern w:val="16"/>
                <w:sz w:val="23"/>
                <w:szCs w:val="23"/>
              </w:rPr>
              <w:t>seminars</w:t>
            </w:r>
            <w:proofErr w:type="spellEnd"/>
            <w:r w:rsidRPr="00AD3D7F">
              <w:rPr>
                <w:kern w:val="16"/>
                <w:sz w:val="23"/>
                <w:szCs w:val="23"/>
              </w:rPr>
              <w:t xml:space="preserve"> (</w:t>
            </w:r>
            <w:proofErr w:type="spellStart"/>
            <w:r w:rsidRPr="00AD3D7F">
              <w:rPr>
                <w:kern w:val="16"/>
                <w:sz w:val="23"/>
                <w:szCs w:val="23"/>
              </w:rPr>
              <w:t>presentations</w:t>
            </w:r>
            <w:proofErr w:type="spellEnd"/>
            <w:r w:rsidRPr="00AD3D7F">
              <w:rPr>
                <w:kern w:val="16"/>
                <w:sz w:val="23"/>
                <w:szCs w:val="23"/>
              </w:rPr>
              <w:t xml:space="preserve">) </w:t>
            </w:r>
            <w:r w:rsidR="00151421">
              <w:rPr>
                <w:kern w:val="16"/>
                <w:sz w:val="23"/>
                <w:szCs w:val="23"/>
              </w:rPr>
              <w:t>–</w:t>
            </w:r>
            <w:r w:rsidRPr="00AD3D7F">
              <w:rPr>
                <w:kern w:val="16"/>
                <w:sz w:val="23"/>
                <w:szCs w:val="23"/>
              </w:rPr>
              <w:t xml:space="preserve"> 20%; </w:t>
            </w:r>
          </w:p>
          <w:p w:rsidR="00AD3D7F" w:rsidRPr="00AD3D7F" w:rsidRDefault="00AD3D7F" w:rsidP="00AD3D7F">
            <w:pPr>
              <w:spacing w:line="20" w:lineRule="atLeast"/>
              <w:jc w:val="both"/>
              <w:rPr>
                <w:kern w:val="16"/>
                <w:sz w:val="23"/>
                <w:szCs w:val="23"/>
              </w:rPr>
            </w:pPr>
            <w:r w:rsidRPr="00AD3D7F">
              <w:rPr>
                <w:kern w:val="16"/>
                <w:sz w:val="23"/>
                <w:szCs w:val="23"/>
              </w:rPr>
              <w:t xml:space="preserve">2) </w:t>
            </w:r>
            <w:proofErr w:type="spellStart"/>
            <w:r w:rsidRPr="00AD3D7F">
              <w:rPr>
                <w:kern w:val="16"/>
                <w:sz w:val="23"/>
                <w:szCs w:val="23"/>
              </w:rPr>
              <w:t>Practical</w:t>
            </w:r>
            <w:proofErr w:type="spellEnd"/>
            <w:r w:rsidRPr="00AD3D7F">
              <w:rPr>
                <w:kern w:val="16"/>
                <w:sz w:val="23"/>
                <w:szCs w:val="23"/>
              </w:rPr>
              <w:t xml:space="preserve"> </w:t>
            </w:r>
            <w:proofErr w:type="spellStart"/>
            <w:r w:rsidRPr="00AD3D7F">
              <w:rPr>
                <w:kern w:val="16"/>
                <w:sz w:val="23"/>
                <w:szCs w:val="23"/>
              </w:rPr>
              <w:t>training</w:t>
            </w:r>
            <w:proofErr w:type="spellEnd"/>
            <w:r w:rsidRPr="00AD3D7F">
              <w:rPr>
                <w:kern w:val="16"/>
                <w:sz w:val="23"/>
                <w:szCs w:val="23"/>
              </w:rPr>
              <w:t xml:space="preserve"> </w:t>
            </w:r>
            <w:r w:rsidR="00151421">
              <w:rPr>
                <w:kern w:val="16"/>
                <w:sz w:val="23"/>
                <w:szCs w:val="23"/>
              </w:rPr>
              <w:t>–</w:t>
            </w:r>
            <w:r w:rsidRPr="00AD3D7F">
              <w:rPr>
                <w:kern w:val="16"/>
                <w:sz w:val="23"/>
                <w:szCs w:val="23"/>
              </w:rPr>
              <w:t xml:space="preserve"> 30%; </w:t>
            </w:r>
          </w:p>
          <w:p w:rsidR="00F54F5A" w:rsidRPr="002A00EB" w:rsidRDefault="00AD3D7F" w:rsidP="00151421">
            <w:pPr>
              <w:spacing w:line="20" w:lineRule="atLeast"/>
              <w:jc w:val="both"/>
              <w:rPr>
                <w:kern w:val="16"/>
                <w:lang w:bidi="km-KH"/>
              </w:rPr>
            </w:pPr>
            <w:r w:rsidRPr="00AD3D7F">
              <w:rPr>
                <w:kern w:val="16"/>
                <w:sz w:val="23"/>
                <w:szCs w:val="23"/>
              </w:rPr>
              <w:t xml:space="preserve">3) </w:t>
            </w:r>
            <w:proofErr w:type="spellStart"/>
            <w:r w:rsidRPr="00AD3D7F">
              <w:rPr>
                <w:kern w:val="16"/>
                <w:sz w:val="23"/>
                <w:szCs w:val="23"/>
              </w:rPr>
              <w:t>Written</w:t>
            </w:r>
            <w:proofErr w:type="spellEnd"/>
            <w:r w:rsidRPr="00AD3D7F">
              <w:rPr>
                <w:kern w:val="16"/>
                <w:sz w:val="23"/>
                <w:szCs w:val="23"/>
              </w:rPr>
              <w:t xml:space="preserve"> </w:t>
            </w:r>
            <w:proofErr w:type="spellStart"/>
            <w:r w:rsidRPr="00AD3D7F">
              <w:rPr>
                <w:kern w:val="16"/>
                <w:sz w:val="23"/>
                <w:szCs w:val="23"/>
              </w:rPr>
              <w:t>examination</w:t>
            </w:r>
            <w:proofErr w:type="spellEnd"/>
            <w:r w:rsidRPr="00AD3D7F">
              <w:rPr>
                <w:kern w:val="16"/>
                <w:sz w:val="23"/>
                <w:szCs w:val="23"/>
              </w:rPr>
              <w:t xml:space="preserve"> </w:t>
            </w:r>
            <w:r w:rsidR="00151421">
              <w:rPr>
                <w:kern w:val="16"/>
                <w:sz w:val="23"/>
                <w:szCs w:val="23"/>
              </w:rPr>
              <w:t>–</w:t>
            </w:r>
            <w:r w:rsidRPr="00AD3D7F">
              <w:rPr>
                <w:kern w:val="16"/>
                <w:sz w:val="23"/>
                <w:szCs w:val="23"/>
              </w:rPr>
              <w:t xml:space="preserve"> 50%.</w:t>
            </w:r>
          </w:p>
        </w:tc>
      </w:tr>
      <w:tr w:rsidR="00F54F5A" w:rsidRPr="002A00EB" w:rsidTr="00D72689">
        <w:tblPrEx>
          <w:tblLook w:val="01E0" w:firstRow="1" w:lastRow="1" w:firstColumn="1" w:lastColumn="1" w:noHBand="0" w:noVBand="0"/>
        </w:tblPrEx>
        <w:tc>
          <w:tcPr>
            <w:tcW w:w="10260" w:type="dxa"/>
            <w:gridSpan w:val="9"/>
            <w:shd w:val="clear" w:color="auto" w:fill="auto"/>
            <w:vAlign w:val="center"/>
          </w:tcPr>
          <w:p w:rsidR="00F54F5A" w:rsidRPr="002A00EB" w:rsidRDefault="00AD3D7F" w:rsidP="00D72689">
            <w:pPr>
              <w:jc w:val="center"/>
              <w:rPr>
                <w:b/>
              </w:rPr>
            </w:pPr>
            <w:r>
              <w:rPr>
                <w:b/>
                <w:sz w:val="22"/>
                <w:szCs w:val="22"/>
              </w:rPr>
              <w:t>COURSE PLAN</w:t>
            </w:r>
          </w:p>
        </w:tc>
      </w:tr>
      <w:tr w:rsidR="00F54F5A" w:rsidRPr="002A00EB" w:rsidTr="00D72689">
        <w:tblPrEx>
          <w:tblLook w:val="01E0" w:firstRow="1" w:lastRow="1" w:firstColumn="1" w:lastColumn="1" w:noHBand="0" w:noVBand="0"/>
        </w:tblPrEx>
        <w:trPr>
          <w:trHeight w:val="322"/>
        </w:trPr>
        <w:tc>
          <w:tcPr>
            <w:tcW w:w="737" w:type="dxa"/>
            <w:shd w:val="clear" w:color="auto" w:fill="auto"/>
            <w:vAlign w:val="center"/>
          </w:tcPr>
          <w:p w:rsidR="00F54F5A" w:rsidRPr="002A00EB" w:rsidRDefault="000D7FFB" w:rsidP="00D72689">
            <w:pPr>
              <w:jc w:val="center"/>
              <w:rPr>
                <w:b/>
              </w:rPr>
            </w:pPr>
            <w:r>
              <w:rPr>
                <w:b/>
                <w:sz w:val="22"/>
                <w:szCs w:val="22"/>
              </w:rPr>
              <w:t>No</w:t>
            </w:r>
            <w:r w:rsidR="00F54F5A" w:rsidRPr="002A00EB">
              <w:rPr>
                <w:b/>
                <w:sz w:val="22"/>
                <w:szCs w:val="22"/>
              </w:rPr>
              <w:t>.</w:t>
            </w:r>
          </w:p>
          <w:p w:rsidR="00F54F5A" w:rsidRPr="002A00EB" w:rsidRDefault="00F54F5A" w:rsidP="00D72689">
            <w:pPr>
              <w:jc w:val="center"/>
              <w:rPr>
                <w:b/>
              </w:rPr>
            </w:pPr>
            <w:r w:rsidRPr="002A00EB">
              <w:rPr>
                <w:b/>
                <w:sz w:val="22"/>
                <w:szCs w:val="22"/>
              </w:rPr>
              <w:t>p/k</w:t>
            </w:r>
          </w:p>
        </w:tc>
        <w:tc>
          <w:tcPr>
            <w:tcW w:w="7056" w:type="dxa"/>
            <w:gridSpan w:val="6"/>
            <w:shd w:val="clear" w:color="auto" w:fill="auto"/>
            <w:vAlign w:val="center"/>
          </w:tcPr>
          <w:p w:rsidR="00F54F5A" w:rsidRPr="002A00EB" w:rsidRDefault="00AD3D7F" w:rsidP="00D72689">
            <w:pPr>
              <w:rPr>
                <w:b/>
              </w:rPr>
            </w:pPr>
            <w:r>
              <w:rPr>
                <w:b/>
                <w:sz w:val="22"/>
                <w:szCs w:val="22"/>
              </w:rPr>
              <w:t>Theme</w:t>
            </w:r>
          </w:p>
        </w:tc>
        <w:tc>
          <w:tcPr>
            <w:tcW w:w="1026" w:type="dxa"/>
            <w:shd w:val="clear" w:color="auto" w:fill="auto"/>
            <w:vAlign w:val="center"/>
          </w:tcPr>
          <w:p w:rsidR="00F54F5A" w:rsidRPr="002A00EB" w:rsidRDefault="000D7FFB" w:rsidP="00D72689">
            <w:pPr>
              <w:rPr>
                <w:b/>
              </w:rPr>
            </w:pPr>
            <w:r w:rsidRPr="000D7FFB">
              <w:rPr>
                <w:b/>
                <w:sz w:val="22"/>
                <w:szCs w:val="22"/>
              </w:rPr>
              <w:t>Hours</w:t>
            </w:r>
          </w:p>
        </w:tc>
        <w:tc>
          <w:tcPr>
            <w:tcW w:w="1441" w:type="dxa"/>
            <w:shd w:val="clear" w:color="auto" w:fill="auto"/>
            <w:vAlign w:val="center"/>
          </w:tcPr>
          <w:p w:rsidR="00F54F5A" w:rsidRPr="002A00EB" w:rsidRDefault="00F54F5A" w:rsidP="00D72689">
            <w:pPr>
              <w:rPr>
                <w:b/>
              </w:rPr>
            </w:pPr>
            <w:r w:rsidRPr="002A00EB">
              <w:rPr>
                <w:b/>
                <w:sz w:val="22"/>
                <w:szCs w:val="22"/>
              </w:rPr>
              <w:t>Literat</w:t>
            </w:r>
            <w:r w:rsidR="000D7FFB">
              <w:rPr>
                <w:b/>
                <w:sz w:val="22"/>
                <w:szCs w:val="22"/>
              </w:rPr>
              <w:t>ure</w:t>
            </w:r>
          </w:p>
        </w:tc>
      </w:tr>
      <w:tr w:rsidR="002A00EB" w:rsidRPr="002A00EB" w:rsidTr="00D72689">
        <w:tblPrEx>
          <w:tblLook w:val="01E0" w:firstRow="1" w:lastRow="1" w:firstColumn="1" w:lastColumn="1" w:noHBand="0" w:noVBand="0"/>
        </w:tblPrEx>
        <w:trPr>
          <w:trHeight w:val="325"/>
        </w:trPr>
        <w:tc>
          <w:tcPr>
            <w:tcW w:w="737" w:type="dxa"/>
            <w:shd w:val="clear" w:color="auto" w:fill="auto"/>
            <w:vAlign w:val="center"/>
          </w:tcPr>
          <w:p w:rsidR="002A00EB" w:rsidRPr="002A00EB" w:rsidRDefault="002A00EB" w:rsidP="002A00EB">
            <w:pPr>
              <w:pStyle w:val="Sarakstarindkopa"/>
              <w:numPr>
                <w:ilvl w:val="0"/>
                <w:numId w:val="12"/>
              </w:numPr>
              <w:jc w:val="center"/>
            </w:pPr>
          </w:p>
        </w:tc>
        <w:tc>
          <w:tcPr>
            <w:tcW w:w="7056" w:type="dxa"/>
            <w:gridSpan w:val="6"/>
            <w:shd w:val="clear" w:color="auto" w:fill="auto"/>
          </w:tcPr>
          <w:p w:rsidR="002A00EB" w:rsidRPr="002A00EB" w:rsidRDefault="00AD3D7F" w:rsidP="002A00EB">
            <w:pPr>
              <w:rPr>
                <w:bCs/>
                <w:kern w:val="16"/>
              </w:rPr>
            </w:pPr>
            <w:r w:rsidRPr="00AD3D7F">
              <w:rPr>
                <w:bCs/>
                <w:kern w:val="16"/>
                <w:sz w:val="22"/>
              </w:rPr>
              <w:t>Introduction. The concept and theories of taxation.</w:t>
            </w:r>
          </w:p>
        </w:tc>
        <w:tc>
          <w:tcPr>
            <w:tcW w:w="1026" w:type="dxa"/>
            <w:shd w:val="clear" w:color="auto" w:fill="auto"/>
          </w:tcPr>
          <w:p w:rsidR="002A00EB" w:rsidRPr="002A00EB" w:rsidRDefault="002A00EB" w:rsidP="002A00EB"/>
        </w:tc>
        <w:tc>
          <w:tcPr>
            <w:tcW w:w="1441" w:type="dxa"/>
            <w:shd w:val="clear" w:color="auto" w:fill="auto"/>
          </w:tcPr>
          <w:p w:rsidR="002A00EB" w:rsidRPr="002A00EB" w:rsidRDefault="002A00EB" w:rsidP="002A00EB">
            <w:pPr>
              <w:ind w:right="-288"/>
            </w:pPr>
          </w:p>
        </w:tc>
      </w:tr>
      <w:tr w:rsidR="002A00EB" w:rsidRPr="002A00EB" w:rsidTr="00D72689">
        <w:tblPrEx>
          <w:tblLook w:val="01E0" w:firstRow="1" w:lastRow="1" w:firstColumn="1" w:lastColumn="1" w:noHBand="0" w:noVBand="0"/>
        </w:tblPrEx>
        <w:trPr>
          <w:trHeight w:val="326"/>
        </w:trPr>
        <w:tc>
          <w:tcPr>
            <w:tcW w:w="737" w:type="dxa"/>
            <w:shd w:val="clear" w:color="auto" w:fill="auto"/>
            <w:vAlign w:val="center"/>
          </w:tcPr>
          <w:p w:rsidR="002A00EB" w:rsidRPr="002A00EB" w:rsidRDefault="002A00EB" w:rsidP="002A00EB">
            <w:pPr>
              <w:pStyle w:val="Sarakstarindkopa"/>
              <w:numPr>
                <w:ilvl w:val="0"/>
                <w:numId w:val="12"/>
              </w:numPr>
              <w:jc w:val="center"/>
            </w:pPr>
          </w:p>
        </w:tc>
        <w:tc>
          <w:tcPr>
            <w:tcW w:w="7056" w:type="dxa"/>
            <w:gridSpan w:val="6"/>
            <w:shd w:val="clear" w:color="auto" w:fill="auto"/>
          </w:tcPr>
          <w:p w:rsidR="002A00EB" w:rsidRPr="002A00EB" w:rsidRDefault="00AD3D7F" w:rsidP="002A00EB">
            <w:pPr>
              <w:rPr>
                <w:bCs/>
                <w:kern w:val="16"/>
              </w:rPr>
            </w:pPr>
            <w:r w:rsidRPr="00AD3D7F">
              <w:rPr>
                <w:bCs/>
                <w:kern w:val="16"/>
                <w:sz w:val="22"/>
              </w:rPr>
              <w:t>Tax system. Elements, principles and functions of taxation.</w:t>
            </w:r>
          </w:p>
        </w:tc>
        <w:tc>
          <w:tcPr>
            <w:tcW w:w="1026" w:type="dxa"/>
            <w:shd w:val="clear" w:color="auto" w:fill="auto"/>
          </w:tcPr>
          <w:p w:rsidR="002A00EB" w:rsidRPr="002A00EB" w:rsidRDefault="002A00EB" w:rsidP="002A00EB">
            <w:pPr>
              <w:pStyle w:val="Galvene"/>
              <w:tabs>
                <w:tab w:val="clear" w:pos="4153"/>
                <w:tab w:val="clear" w:pos="8306"/>
              </w:tabs>
              <w:ind w:right="-108"/>
              <w:rPr>
                <w:rFonts w:ascii="Times New Roman" w:hAnsi="Times New Roman"/>
                <w:szCs w:val="22"/>
                <w:lang w:val="lv-LV"/>
              </w:rPr>
            </w:pPr>
          </w:p>
        </w:tc>
        <w:tc>
          <w:tcPr>
            <w:tcW w:w="1441" w:type="dxa"/>
            <w:shd w:val="clear" w:color="auto" w:fill="auto"/>
          </w:tcPr>
          <w:p w:rsidR="002A00EB" w:rsidRPr="002A00EB" w:rsidRDefault="002A00EB" w:rsidP="002A00EB"/>
        </w:tc>
      </w:tr>
      <w:tr w:rsidR="002A00EB" w:rsidRPr="002A00EB" w:rsidTr="00D72689">
        <w:tblPrEx>
          <w:tblLook w:val="01E0" w:firstRow="1" w:lastRow="1" w:firstColumn="1" w:lastColumn="1" w:noHBand="0" w:noVBand="0"/>
        </w:tblPrEx>
        <w:trPr>
          <w:trHeight w:val="325"/>
        </w:trPr>
        <w:tc>
          <w:tcPr>
            <w:tcW w:w="737" w:type="dxa"/>
            <w:shd w:val="clear" w:color="auto" w:fill="auto"/>
            <w:vAlign w:val="center"/>
          </w:tcPr>
          <w:p w:rsidR="002A00EB" w:rsidRPr="002A00EB" w:rsidRDefault="002A00EB" w:rsidP="002A00EB">
            <w:pPr>
              <w:pStyle w:val="Sarakstarindkopa"/>
              <w:numPr>
                <w:ilvl w:val="0"/>
                <w:numId w:val="12"/>
              </w:numPr>
              <w:jc w:val="center"/>
            </w:pPr>
          </w:p>
        </w:tc>
        <w:tc>
          <w:tcPr>
            <w:tcW w:w="7056" w:type="dxa"/>
            <w:gridSpan w:val="6"/>
            <w:shd w:val="clear" w:color="auto" w:fill="auto"/>
          </w:tcPr>
          <w:p w:rsidR="002A00EB" w:rsidRPr="002A00EB" w:rsidRDefault="00AD3D7F" w:rsidP="002A00EB">
            <w:pPr>
              <w:rPr>
                <w:bCs/>
                <w:kern w:val="16"/>
              </w:rPr>
            </w:pPr>
            <w:r w:rsidRPr="00AD3D7F">
              <w:rPr>
                <w:bCs/>
                <w:kern w:val="16"/>
                <w:sz w:val="22"/>
              </w:rPr>
              <w:t>Classification of taxes. Tax competition.</w:t>
            </w:r>
          </w:p>
        </w:tc>
        <w:tc>
          <w:tcPr>
            <w:tcW w:w="1026" w:type="dxa"/>
            <w:shd w:val="clear" w:color="auto" w:fill="auto"/>
          </w:tcPr>
          <w:p w:rsidR="002A00EB" w:rsidRPr="002A00EB" w:rsidRDefault="002A00EB" w:rsidP="002A00EB">
            <w:pPr>
              <w:ind w:right="-108"/>
            </w:pPr>
          </w:p>
        </w:tc>
        <w:tc>
          <w:tcPr>
            <w:tcW w:w="1441" w:type="dxa"/>
            <w:shd w:val="clear" w:color="auto" w:fill="auto"/>
          </w:tcPr>
          <w:p w:rsidR="002A00EB" w:rsidRPr="002A00EB" w:rsidRDefault="002A00EB" w:rsidP="002A00EB">
            <w:pPr>
              <w:pStyle w:val="Galvene"/>
              <w:tabs>
                <w:tab w:val="clear" w:pos="4153"/>
                <w:tab w:val="clear" w:pos="8306"/>
              </w:tabs>
              <w:rPr>
                <w:rFonts w:ascii="Times New Roman" w:hAnsi="Times New Roman"/>
                <w:szCs w:val="22"/>
                <w:lang w:val="lv-LV"/>
              </w:rPr>
            </w:pPr>
          </w:p>
        </w:tc>
      </w:tr>
      <w:tr w:rsidR="002A00EB" w:rsidRPr="002A00EB" w:rsidTr="00D72689">
        <w:tblPrEx>
          <w:tblLook w:val="01E0" w:firstRow="1" w:lastRow="1" w:firstColumn="1" w:lastColumn="1" w:noHBand="0" w:noVBand="0"/>
        </w:tblPrEx>
        <w:trPr>
          <w:trHeight w:val="326"/>
        </w:trPr>
        <w:tc>
          <w:tcPr>
            <w:tcW w:w="737" w:type="dxa"/>
            <w:shd w:val="clear" w:color="auto" w:fill="auto"/>
            <w:vAlign w:val="center"/>
          </w:tcPr>
          <w:p w:rsidR="002A00EB" w:rsidRPr="002A00EB" w:rsidRDefault="002A00EB" w:rsidP="002A00EB">
            <w:pPr>
              <w:pStyle w:val="Sarakstarindkopa"/>
              <w:numPr>
                <w:ilvl w:val="0"/>
                <w:numId w:val="12"/>
              </w:numPr>
              <w:jc w:val="center"/>
            </w:pPr>
          </w:p>
        </w:tc>
        <w:tc>
          <w:tcPr>
            <w:tcW w:w="7056" w:type="dxa"/>
            <w:gridSpan w:val="6"/>
            <w:shd w:val="clear" w:color="auto" w:fill="auto"/>
          </w:tcPr>
          <w:p w:rsidR="002A00EB" w:rsidRPr="002A00EB" w:rsidRDefault="00AD3D7F" w:rsidP="002A00EB">
            <w:pPr>
              <w:rPr>
                <w:bCs/>
                <w:kern w:val="16"/>
              </w:rPr>
            </w:pPr>
            <w:r w:rsidRPr="00AD3D7F">
              <w:rPr>
                <w:bCs/>
                <w:kern w:val="16"/>
                <w:sz w:val="22"/>
              </w:rPr>
              <w:t>Latvian tax system and tax policy for residents and non-residents.</w:t>
            </w:r>
          </w:p>
        </w:tc>
        <w:tc>
          <w:tcPr>
            <w:tcW w:w="1026" w:type="dxa"/>
            <w:shd w:val="clear" w:color="auto" w:fill="auto"/>
          </w:tcPr>
          <w:p w:rsidR="002A00EB" w:rsidRPr="002A00EB" w:rsidRDefault="002A00EB" w:rsidP="002A00EB"/>
        </w:tc>
        <w:tc>
          <w:tcPr>
            <w:tcW w:w="1441" w:type="dxa"/>
            <w:shd w:val="clear" w:color="auto" w:fill="auto"/>
          </w:tcPr>
          <w:p w:rsidR="002A00EB" w:rsidRPr="002A00EB" w:rsidRDefault="002A00EB" w:rsidP="002A00EB"/>
        </w:tc>
      </w:tr>
      <w:tr w:rsidR="002A00EB" w:rsidRPr="002A00EB" w:rsidTr="00D72689">
        <w:tblPrEx>
          <w:tblLook w:val="01E0" w:firstRow="1" w:lastRow="1" w:firstColumn="1" w:lastColumn="1" w:noHBand="0" w:noVBand="0"/>
        </w:tblPrEx>
        <w:trPr>
          <w:trHeight w:val="325"/>
        </w:trPr>
        <w:tc>
          <w:tcPr>
            <w:tcW w:w="737" w:type="dxa"/>
            <w:shd w:val="clear" w:color="auto" w:fill="auto"/>
            <w:vAlign w:val="center"/>
          </w:tcPr>
          <w:p w:rsidR="002A00EB" w:rsidRPr="002A00EB" w:rsidRDefault="002A00EB" w:rsidP="002A00EB">
            <w:pPr>
              <w:pStyle w:val="Sarakstarindkopa"/>
              <w:numPr>
                <w:ilvl w:val="0"/>
                <w:numId w:val="12"/>
              </w:numPr>
              <w:jc w:val="center"/>
            </w:pPr>
          </w:p>
        </w:tc>
        <w:tc>
          <w:tcPr>
            <w:tcW w:w="7056" w:type="dxa"/>
            <w:gridSpan w:val="6"/>
            <w:shd w:val="clear" w:color="auto" w:fill="auto"/>
          </w:tcPr>
          <w:p w:rsidR="002A00EB" w:rsidRPr="002A00EB" w:rsidRDefault="00AD3D7F" w:rsidP="002A00EB">
            <w:pPr>
              <w:rPr>
                <w:bCs/>
                <w:kern w:val="16"/>
              </w:rPr>
            </w:pPr>
            <w:r w:rsidRPr="00AD3D7F">
              <w:rPr>
                <w:bCs/>
                <w:kern w:val="16"/>
                <w:sz w:val="22"/>
              </w:rPr>
              <w:t>Influence of international institutions on Latvian tax policy.</w:t>
            </w:r>
          </w:p>
        </w:tc>
        <w:tc>
          <w:tcPr>
            <w:tcW w:w="1026" w:type="dxa"/>
            <w:shd w:val="clear" w:color="auto" w:fill="auto"/>
          </w:tcPr>
          <w:p w:rsidR="002A00EB" w:rsidRPr="002A00EB" w:rsidRDefault="002A00EB" w:rsidP="002A00EB"/>
        </w:tc>
        <w:tc>
          <w:tcPr>
            <w:tcW w:w="1441" w:type="dxa"/>
            <w:shd w:val="clear" w:color="auto" w:fill="auto"/>
          </w:tcPr>
          <w:p w:rsidR="002A00EB" w:rsidRPr="002A00EB" w:rsidRDefault="002A00EB" w:rsidP="002A00EB"/>
        </w:tc>
      </w:tr>
      <w:tr w:rsidR="002A00EB" w:rsidRPr="002A00EB" w:rsidTr="00D72689">
        <w:tblPrEx>
          <w:tblLook w:val="01E0" w:firstRow="1" w:lastRow="1" w:firstColumn="1" w:lastColumn="1" w:noHBand="0" w:noVBand="0"/>
        </w:tblPrEx>
        <w:trPr>
          <w:trHeight w:val="325"/>
        </w:trPr>
        <w:tc>
          <w:tcPr>
            <w:tcW w:w="737" w:type="dxa"/>
            <w:shd w:val="clear" w:color="auto" w:fill="auto"/>
            <w:vAlign w:val="center"/>
          </w:tcPr>
          <w:p w:rsidR="002A00EB" w:rsidRPr="002A00EB" w:rsidRDefault="002A00EB" w:rsidP="002A00EB">
            <w:pPr>
              <w:pStyle w:val="Sarakstarindkopa"/>
              <w:numPr>
                <w:ilvl w:val="0"/>
                <w:numId w:val="12"/>
              </w:numPr>
              <w:jc w:val="center"/>
            </w:pPr>
          </w:p>
        </w:tc>
        <w:tc>
          <w:tcPr>
            <w:tcW w:w="7056" w:type="dxa"/>
            <w:gridSpan w:val="6"/>
            <w:shd w:val="clear" w:color="auto" w:fill="auto"/>
          </w:tcPr>
          <w:p w:rsidR="002A00EB" w:rsidRPr="002A00EB" w:rsidRDefault="00AD3D7F" w:rsidP="002A00EB">
            <w:pPr>
              <w:rPr>
                <w:bCs/>
                <w:kern w:val="16"/>
              </w:rPr>
            </w:pPr>
            <w:r w:rsidRPr="00AD3D7F">
              <w:rPr>
                <w:bCs/>
                <w:kern w:val="16"/>
                <w:sz w:val="22"/>
              </w:rPr>
              <w:t>Tax administration policy and audit.</w:t>
            </w:r>
          </w:p>
        </w:tc>
        <w:tc>
          <w:tcPr>
            <w:tcW w:w="1026" w:type="dxa"/>
            <w:shd w:val="clear" w:color="auto" w:fill="auto"/>
          </w:tcPr>
          <w:p w:rsidR="002A00EB" w:rsidRPr="002A00EB" w:rsidRDefault="002A00EB" w:rsidP="002A00EB"/>
        </w:tc>
        <w:tc>
          <w:tcPr>
            <w:tcW w:w="1441" w:type="dxa"/>
            <w:shd w:val="clear" w:color="auto" w:fill="auto"/>
          </w:tcPr>
          <w:p w:rsidR="002A00EB" w:rsidRPr="002A00EB" w:rsidRDefault="002A00EB" w:rsidP="002A00EB"/>
        </w:tc>
      </w:tr>
      <w:tr w:rsidR="002A00EB" w:rsidRPr="002A00EB" w:rsidTr="00D72689">
        <w:tblPrEx>
          <w:tblLook w:val="01E0" w:firstRow="1" w:lastRow="1" w:firstColumn="1" w:lastColumn="1" w:noHBand="0" w:noVBand="0"/>
        </w:tblPrEx>
        <w:trPr>
          <w:trHeight w:val="325"/>
        </w:trPr>
        <w:tc>
          <w:tcPr>
            <w:tcW w:w="737" w:type="dxa"/>
            <w:shd w:val="clear" w:color="auto" w:fill="auto"/>
            <w:vAlign w:val="center"/>
          </w:tcPr>
          <w:p w:rsidR="002A00EB" w:rsidRPr="002A00EB" w:rsidRDefault="002A00EB" w:rsidP="002A00EB">
            <w:pPr>
              <w:pStyle w:val="Sarakstarindkopa"/>
              <w:numPr>
                <w:ilvl w:val="0"/>
                <w:numId w:val="12"/>
              </w:numPr>
              <w:jc w:val="center"/>
            </w:pPr>
          </w:p>
        </w:tc>
        <w:tc>
          <w:tcPr>
            <w:tcW w:w="7056" w:type="dxa"/>
            <w:gridSpan w:val="6"/>
            <w:shd w:val="clear" w:color="auto" w:fill="auto"/>
          </w:tcPr>
          <w:p w:rsidR="002A00EB" w:rsidRPr="002A00EB" w:rsidRDefault="00AD3D7F" w:rsidP="002A00EB">
            <w:pPr>
              <w:rPr>
                <w:bCs/>
                <w:kern w:val="16"/>
              </w:rPr>
            </w:pPr>
            <w:r w:rsidRPr="00AD3D7F">
              <w:rPr>
                <w:bCs/>
                <w:kern w:val="16"/>
                <w:sz w:val="22"/>
              </w:rPr>
              <w:t>Income tax policy. Indirect tax policy.</w:t>
            </w:r>
          </w:p>
        </w:tc>
        <w:tc>
          <w:tcPr>
            <w:tcW w:w="1026" w:type="dxa"/>
            <w:shd w:val="clear" w:color="auto" w:fill="auto"/>
          </w:tcPr>
          <w:p w:rsidR="002A00EB" w:rsidRPr="002A00EB" w:rsidRDefault="002A00EB" w:rsidP="002A00EB"/>
        </w:tc>
        <w:tc>
          <w:tcPr>
            <w:tcW w:w="1441" w:type="dxa"/>
            <w:shd w:val="clear" w:color="auto" w:fill="auto"/>
          </w:tcPr>
          <w:p w:rsidR="002A00EB" w:rsidRPr="002A00EB" w:rsidRDefault="002A00EB" w:rsidP="002A00EB"/>
        </w:tc>
      </w:tr>
      <w:tr w:rsidR="002A00EB" w:rsidRPr="002A00EB" w:rsidTr="00D72689">
        <w:tblPrEx>
          <w:tblLook w:val="01E0" w:firstRow="1" w:lastRow="1" w:firstColumn="1" w:lastColumn="1" w:noHBand="0" w:noVBand="0"/>
        </w:tblPrEx>
        <w:trPr>
          <w:trHeight w:val="325"/>
        </w:trPr>
        <w:tc>
          <w:tcPr>
            <w:tcW w:w="737" w:type="dxa"/>
            <w:shd w:val="clear" w:color="auto" w:fill="auto"/>
            <w:vAlign w:val="center"/>
          </w:tcPr>
          <w:p w:rsidR="002A00EB" w:rsidRPr="002A00EB" w:rsidRDefault="002A00EB" w:rsidP="002A00EB">
            <w:pPr>
              <w:pStyle w:val="Sarakstarindkopa"/>
              <w:numPr>
                <w:ilvl w:val="0"/>
                <w:numId w:val="12"/>
              </w:numPr>
              <w:jc w:val="center"/>
            </w:pPr>
          </w:p>
        </w:tc>
        <w:tc>
          <w:tcPr>
            <w:tcW w:w="7056" w:type="dxa"/>
            <w:gridSpan w:val="6"/>
            <w:shd w:val="clear" w:color="auto" w:fill="auto"/>
          </w:tcPr>
          <w:p w:rsidR="002A00EB" w:rsidRPr="002A00EB" w:rsidRDefault="00AD3D7F" w:rsidP="002A00EB">
            <w:pPr>
              <w:rPr>
                <w:bCs/>
                <w:kern w:val="16"/>
              </w:rPr>
            </w:pPr>
            <w:r w:rsidRPr="00AD3D7F">
              <w:rPr>
                <w:bCs/>
                <w:kern w:val="16"/>
                <w:sz w:val="22"/>
              </w:rPr>
              <w:t>Tax planning. Customs and tariff policy.</w:t>
            </w:r>
          </w:p>
        </w:tc>
        <w:tc>
          <w:tcPr>
            <w:tcW w:w="1026" w:type="dxa"/>
            <w:shd w:val="clear" w:color="auto" w:fill="auto"/>
          </w:tcPr>
          <w:p w:rsidR="002A00EB" w:rsidRPr="002A00EB" w:rsidRDefault="002A00EB" w:rsidP="002A00EB"/>
        </w:tc>
        <w:tc>
          <w:tcPr>
            <w:tcW w:w="1441" w:type="dxa"/>
            <w:shd w:val="clear" w:color="auto" w:fill="auto"/>
          </w:tcPr>
          <w:p w:rsidR="002A00EB" w:rsidRPr="002A00EB" w:rsidRDefault="002A00EB" w:rsidP="002A00EB"/>
        </w:tc>
      </w:tr>
      <w:tr w:rsidR="002A00EB" w:rsidRPr="002A00EB" w:rsidTr="00D72689">
        <w:tblPrEx>
          <w:tblLook w:val="01E0" w:firstRow="1" w:lastRow="1" w:firstColumn="1" w:lastColumn="1" w:noHBand="0" w:noVBand="0"/>
        </w:tblPrEx>
        <w:trPr>
          <w:trHeight w:val="325"/>
        </w:trPr>
        <w:tc>
          <w:tcPr>
            <w:tcW w:w="737" w:type="dxa"/>
            <w:shd w:val="clear" w:color="auto" w:fill="auto"/>
            <w:vAlign w:val="center"/>
          </w:tcPr>
          <w:p w:rsidR="002A00EB" w:rsidRPr="002A00EB" w:rsidRDefault="002A00EB" w:rsidP="002A00EB">
            <w:pPr>
              <w:pStyle w:val="Sarakstarindkopa"/>
              <w:numPr>
                <w:ilvl w:val="0"/>
                <w:numId w:val="12"/>
              </w:numPr>
              <w:jc w:val="center"/>
            </w:pPr>
          </w:p>
        </w:tc>
        <w:tc>
          <w:tcPr>
            <w:tcW w:w="7056" w:type="dxa"/>
            <w:gridSpan w:val="6"/>
            <w:shd w:val="clear" w:color="auto" w:fill="auto"/>
          </w:tcPr>
          <w:p w:rsidR="002A00EB" w:rsidRPr="002A00EB" w:rsidRDefault="00AD3D7F" w:rsidP="002A00EB">
            <w:pPr>
              <w:rPr>
                <w:bCs/>
                <w:kern w:val="16"/>
              </w:rPr>
            </w:pPr>
            <w:r w:rsidRPr="00AD3D7F">
              <w:rPr>
                <w:bCs/>
                <w:kern w:val="16"/>
                <w:sz w:val="22"/>
              </w:rPr>
              <w:t>European Union tax policy.Basic types of taxation.</w:t>
            </w:r>
          </w:p>
        </w:tc>
        <w:tc>
          <w:tcPr>
            <w:tcW w:w="1026" w:type="dxa"/>
            <w:shd w:val="clear" w:color="auto" w:fill="auto"/>
          </w:tcPr>
          <w:p w:rsidR="002A00EB" w:rsidRPr="002A00EB" w:rsidRDefault="002A00EB" w:rsidP="002A00EB"/>
        </w:tc>
        <w:tc>
          <w:tcPr>
            <w:tcW w:w="1441" w:type="dxa"/>
            <w:shd w:val="clear" w:color="auto" w:fill="auto"/>
          </w:tcPr>
          <w:p w:rsidR="002A00EB" w:rsidRPr="002A00EB" w:rsidRDefault="002A00EB" w:rsidP="002A00EB"/>
        </w:tc>
      </w:tr>
      <w:tr w:rsidR="002A00EB" w:rsidRPr="002A00EB" w:rsidTr="00D72689">
        <w:tblPrEx>
          <w:tblLook w:val="01E0" w:firstRow="1" w:lastRow="1" w:firstColumn="1" w:lastColumn="1" w:noHBand="0" w:noVBand="0"/>
        </w:tblPrEx>
        <w:trPr>
          <w:trHeight w:val="325"/>
        </w:trPr>
        <w:tc>
          <w:tcPr>
            <w:tcW w:w="737" w:type="dxa"/>
            <w:shd w:val="clear" w:color="auto" w:fill="auto"/>
            <w:vAlign w:val="center"/>
          </w:tcPr>
          <w:p w:rsidR="002A00EB" w:rsidRPr="002A00EB" w:rsidRDefault="002A00EB" w:rsidP="002A00EB">
            <w:pPr>
              <w:pStyle w:val="Sarakstarindkopa"/>
              <w:numPr>
                <w:ilvl w:val="0"/>
                <w:numId w:val="12"/>
              </w:numPr>
              <w:jc w:val="center"/>
            </w:pPr>
          </w:p>
        </w:tc>
        <w:tc>
          <w:tcPr>
            <w:tcW w:w="7056" w:type="dxa"/>
            <w:gridSpan w:val="6"/>
            <w:shd w:val="clear" w:color="auto" w:fill="auto"/>
          </w:tcPr>
          <w:p w:rsidR="002A00EB" w:rsidRPr="002A00EB" w:rsidRDefault="00AD3D7F" w:rsidP="002A00EB">
            <w:pPr>
              <w:rPr>
                <w:bCs/>
                <w:kern w:val="16"/>
              </w:rPr>
            </w:pPr>
            <w:r w:rsidRPr="00AD3D7F">
              <w:rPr>
                <w:bCs/>
                <w:kern w:val="16"/>
                <w:sz w:val="22"/>
              </w:rPr>
              <w:t>Foreign tax systems (Baltic countries and European experience).</w:t>
            </w:r>
          </w:p>
        </w:tc>
        <w:tc>
          <w:tcPr>
            <w:tcW w:w="1026" w:type="dxa"/>
            <w:shd w:val="clear" w:color="auto" w:fill="auto"/>
          </w:tcPr>
          <w:p w:rsidR="002A00EB" w:rsidRPr="002A00EB" w:rsidRDefault="002A00EB" w:rsidP="002A00EB"/>
        </w:tc>
        <w:tc>
          <w:tcPr>
            <w:tcW w:w="1441" w:type="dxa"/>
            <w:shd w:val="clear" w:color="auto" w:fill="auto"/>
          </w:tcPr>
          <w:p w:rsidR="002A00EB" w:rsidRPr="002A00EB" w:rsidRDefault="002A00EB" w:rsidP="002A00EB"/>
        </w:tc>
      </w:tr>
      <w:tr w:rsidR="002A00EB" w:rsidRPr="002A00EB" w:rsidTr="00D72689">
        <w:tblPrEx>
          <w:tblLook w:val="01E0" w:firstRow="1" w:lastRow="1" w:firstColumn="1" w:lastColumn="1" w:noHBand="0" w:noVBand="0"/>
        </w:tblPrEx>
        <w:trPr>
          <w:trHeight w:val="326"/>
        </w:trPr>
        <w:tc>
          <w:tcPr>
            <w:tcW w:w="737" w:type="dxa"/>
            <w:shd w:val="clear" w:color="auto" w:fill="auto"/>
            <w:vAlign w:val="center"/>
          </w:tcPr>
          <w:p w:rsidR="002A00EB" w:rsidRPr="002A00EB" w:rsidRDefault="002A00EB" w:rsidP="002A00EB">
            <w:pPr>
              <w:pStyle w:val="Sarakstarindkopa"/>
              <w:numPr>
                <w:ilvl w:val="0"/>
                <w:numId w:val="12"/>
              </w:numPr>
              <w:jc w:val="center"/>
            </w:pPr>
          </w:p>
        </w:tc>
        <w:tc>
          <w:tcPr>
            <w:tcW w:w="7056" w:type="dxa"/>
            <w:gridSpan w:val="6"/>
            <w:shd w:val="clear" w:color="auto" w:fill="auto"/>
          </w:tcPr>
          <w:p w:rsidR="002A00EB" w:rsidRPr="002A00EB" w:rsidRDefault="00AD3D7F" w:rsidP="002A00EB">
            <w:pPr>
              <w:rPr>
                <w:bCs/>
                <w:kern w:val="16"/>
              </w:rPr>
            </w:pPr>
            <w:r w:rsidRPr="00AD3D7F">
              <w:rPr>
                <w:bCs/>
                <w:kern w:val="16"/>
                <w:sz w:val="22"/>
              </w:rPr>
              <w:t>The impact of globalisation on tax policy.</w:t>
            </w:r>
          </w:p>
        </w:tc>
        <w:tc>
          <w:tcPr>
            <w:tcW w:w="1026" w:type="dxa"/>
            <w:shd w:val="clear" w:color="auto" w:fill="auto"/>
          </w:tcPr>
          <w:p w:rsidR="002A00EB" w:rsidRPr="002A00EB" w:rsidRDefault="002A00EB" w:rsidP="002A00EB"/>
        </w:tc>
        <w:tc>
          <w:tcPr>
            <w:tcW w:w="1441" w:type="dxa"/>
            <w:shd w:val="clear" w:color="auto" w:fill="auto"/>
          </w:tcPr>
          <w:p w:rsidR="002A00EB" w:rsidRPr="002A00EB" w:rsidRDefault="002A00EB" w:rsidP="002A00EB"/>
        </w:tc>
      </w:tr>
      <w:tr w:rsidR="00F54F5A" w:rsidRPr="002A00EB" w:rsidTr="00D72689">
        <w:tblPrEx>
          <w:tblLook w:val="01E0" w:firstRow="1" w:lastRow="1" w:firstColumn="1" w:lastColumn="1" w:noHBand="0" w:noVBand="0"/>
        </w:tblPrEx>
        <w:tc>
          <w:tcPr>
            <w:tcW w:w="737" w:type="dxa"/>
            <w:shd w:val="clear" w:color="auto" w:fill="auto"/>
            <w:vAlign w:val="center"/>
          </w:tcPr>
          <w:p w:rsidR="00F54F5A" w:rsidRPr="002A00EB" w:rsidRDefault="000D7FFB" w:rsidP="00D72689">
            <w:pPr>
              <w:jc w:val="center"/>
              <w:rPr>
                <w:b/>
              </w:rPr>
            </w:pPr>
            <w:r>
              <w:rPr>
                <w:b/>
                <w:sz w:val="22"/>
                <w:szCs w:val="22"/>
              </w:rPr>
              <w:t>No</w:t>
            </w:r>
            <w:r w:rsidR="00F54F5A" w:rsidRPr="002A00EB">
              <w:rPr>
                <w:b/>
                <w:sz w:val="22"/>
                <w:szCs w:val="22"/>
              </w:rPr>
              <w:t>.</w:t>
            </w:r>
          </w:p>
          <w:p w:rsidR="00F54F5A" w:rsidRPr="002A00EB" w:rsidRDefault="00F54F5A" w:rsidP="00D72689">
            <w:pPr>
              <w:jc w:val="center"/>
              <w:rPr>
                <w:b/>
              </w:rPr>
            </w:pPr>
            <w:r w:rsidRPr="002A00EB">
              <w:rPr>
                <w:b/>
                <w:sz w:val="22"/>
                <w:szCs w:val="22"/>
              </w:rPr>
              <w:t>p/k</w:t>
            </w:r>
          </w:p>
        </w:tc>
        <w:tc>
          <w:tcPr>
            <w:tcW w:w="7056" w:type="dxa"/>
            <w:gridSpan w:val="6"/>
            <w:shd w:val="clear" w:color="auto" w:fill="auto"/>
            <w:vAlign w:val="center"/>
          </w:tcPr>
          <w:p w:rsidR="00F54F5A" w:rsidRPr="002A00EB" w:rsidRDefault="00AD3D7F" w:rsidP="00D72689">
            <w:pPr>
              <w:rPr>
                <w:b/>
              </w:rPr>
            </w:pPr>
            <w:r>
              <w:rPr>
                <w:b/>
                <w:sz w:val="22"/>
                <w:szCs w:val="22"/>
              </w:rPr>
              <w:t>Unaided</w:t>
            </w:r>
            <w:r w:rsidRPr="00AD3D7F">
              <w:rPr>
                <w:b/>
                <w:sz w:val="22"/>
                <w:szCs w:val="22"/>
              </w:rPr>
              <w:t xml:space="preserve"> work, practical work and work with literature:</w:t>
            </w:r>
          </w:p>
        </w:tc>
        <w:tc>
          <w:tcPr>
            <w:tcW w:w="1026" w:type="dxa"/>
            <w:shd w:val="clear" w:color="auto" w:fill="auto"/>
            <w:vAlign w:val="center"/>
          </w:tcPr>
          <w:p w:rsidR="00F54F5A" w:rsidRPr="002A00EB" w:rsidRDefault="00F54F5A" w:rsidP="00D72689">
            <w:pPr>
              <w:jc w:val="center"/>
              <w:rPr>
                <w:b/>
              </w:rPr>
            </w:pPr>
            <w:r w:rsidRPr="002A00EB">
              <w:rPr>
                <w:b/>
                <w:sz w:val="22"/>
                <w:szCs w:val="22"/>
              </w:rPr>
              <w:t>48</w:t>
            </w:r>
          </w:p>
        </w:tc>
        <w:tc>
          <w:tcPr>
            <w:tcW w:w="1441" w:type="dxa"/>
            <w:shd w:val="clear" w:color="auto" w:fill="auto"/>
          </w:tcPr>
          <w:p w:rsidR="00F54F5A" w:rsidRPr="002A00EB" w:rsidRDefault="00F54F5A" w:rsidP="00D72689">
            <w:pPr>
              <w:rPr>
                <w:b/>
              </w:rPr>
            </w:pPr>
          </w:p>
        </w:tc>
      </w:tr>
      <w:tr w:rsidR="00F54F5A" w:rsidRPr="002A00EB" w:rsidTr="00D72689">
        <w:tblPrEx>
          <w:tblLook w:val="01E0" w:firstRow="1" w:lastRow="1" w:firstColumn="1" w:lastColumn="1" w:noHBand="0" w:noVBand="0"/>
        </w:tblPrEx>
        <w:tc>
          <w:tcPr>
            <w:tcW w:w="737" w:type="dxa"/>
            <w:shd w:val="clear" w:color="auto" w:fill="auto"/>
            <w:vAlign w:val="center"/>
          </w:tcPr>
          <w:p w:rsidR="00F54F5A" w:rsidRPr="002A00EB" w:rsidRDefault="00F54F5A" w:rsidP="00D72689">
            <w:pPr>
              <w:jc w:val="center"/>
            </w:pPr>
            <w:r w:rsidRPr="002A00EB">
              <w:rPr>
                <w:sz w:val="22"/>
                <w:szCs w:val="22"/>
              </w:rPr>
              <w:t>1.</w:t>
            </w:r>
          </w:p>
        </w:tc>
        <w:tc>
          <w:tcPr>
            <w:tcW w:w="7056" w:type="dxa"/>
            <w:gridSpan w:val="6"/>
            <w:shd w:val="clear" w:color="auto" w:fill="auto"/>
          </w:tcPr>
          <w:p w:rsidR="00F54F5A" w:rsidRPr="002A00EB" w:rsidRDefault="00AD3D7F" w:rsidP="00151421">
            <w:pPr>
              <w:jc w:val="both"/>
            </w:pPr>
            <w:r w:rsidRPr="00AD3D7F">
              <w:rPr>
                <w:bCs/>
                <w:kern w:val="16"/>
                <w:sz w:val="22"/>
              </w:rPr>
              <w:t xml:space="preserve">Workshops on themes 5, 8 </w:t>
            </w:r>
            <w:proofErr w:type="spellStart"/>
            <w:r w:rsidRPr="00AD3D7F">
              <w:rPr>
                <w:bCs/>
                <w:kern w:val="16"/>
                <w:sz w:val="22"/>
              </w:rPr>
              <w:t>and</w:t>
            </w:r>
            <w:proofErr w:type="spellEnd"/>
            <w:r w:rsidRPr="00AD3D7F">
              <w:rPr>
                <w:bCs/>
                <w:kern w:val="16"/>
                <w:sz w:val="22"/>
              </w:rPr>
              <w:t xml:space="preserve"> 10 </w:t>
            </w:r>
            <w:r w:rsidR="00151421">
              <w:rPr>
                <w:bCs/>
                <w:kern w:val="16"/>
                <w:sz w:val="22"/>
              </w:rPr>
              <w:t>–</w:t>
            </w:r>
            <w:r w:rsidRPr="00AD3D7F">
              <w:rPr>
                <w:bCs/>
                <w:kern w:val="16"/>
                <w:sz w:val="22"/>
              </w:rPr>
              <w:t xml:space="preserve"> </w:t>
            </w:r>
            <w:proofErr w:type="spellStart"/>
            <w:r w:rsidRPr="00AD3D7F">
              <w:rPr>
                <w:bCs/>
                <w:kern w:val="16"/>
                <w:sz w:val="22"/>
              </w:rPr>
              <w:t>prepared</w:t>
            </w:r>
            <w:proofErr w:type="spellEnd"/>
            <w:r w:rsidRPr="00AD3D7F">
              <w:rPr>
                <w:bCs/>
                <w:kern w:val="16"/>
                <w:sz w:val="22"/>
              </w:rPr>
              <w:t xml:space="preserve"> </w:t>
            </w:r>
            <w:proofErr w:type="spellStart"/>
            <w:r w:rsidRPr="00AD3D7F">
              <w:rPr>
                <w:bCs/>
                <w:kern w:val="16"/>
                <w:sz w:val="22"/>
              </w:rPr>
              <w:t>presentations</w:t>
            </w:r>
            <w:proofErr w:type="spellEnd"/>
            <w:r w:rsidRPr="00AD3D7F">
              <w:rPr>
                <w:bCs/>
                <w:kern w:val="16"/>
                <w:sz w:val="22"/>
              </w:rPr>
              <w:t xml:space="preserve"> </w:t>
            </w:r>
            <w:proofErr w:type="spellStart"/>
            <w:r w:rsidRPr="00AD3D7F">
              <w:rPr>
                <w:bCs/>
                <w:kern w:val="16"/>
                <w:sz w:val="22"/>
              </w:rPr>
              <w:t>on</w:t>
            </w:r>
            <w:proofErr w:type="spellEnd"/>
            <w:r w:rsidRPr="00AD3D7F">
              <w:rPr>
                <w:bCs/>
                <w:kern w:val="16"/>
                <w:sz w:val="22"/>
              </w:rPr>
              <w:t xml:space="preserve"> given themes</w:t>
            </w:r>
          </w:p>
        </w:tc>
        <w:tc>
          <w:tcPr>
            <w:tcW w:w="1026" w:type="dxa"/>
            <w:shd w:val="clear" w:color="auto" w:fill="auto"/>
          </w:tcPr>
          <w:p w:rsidR="00F54F5A" w:rsidRPr="002A00EB" w:rsidRDefault="00F54F5A" w:rsidP="00D72689"/>
        </w:tc>
        <w:tc>
          <w:tcPr>
            <w:tcW w:w="1441" w:type="dxa"/>
            <w:shd w:val="clear" w:color="auto" w:fill="auto"/>
          </w:tcPr>
          <w:p w:rsidR="00F54F5A" w:rsidRPr="002A00EB" w:rsidRDefault="00F54F5A" w:rsidP="00D72689"/>
        </w:tc>
      </w:tr>
      <w:tr w:rsidR="00F54F5A" w:rsidRPr="002A00EB" w:rsidTr="00D72689">
        <w:tblPrEx>
          <w:tblLook w:val="01E0" w:firstRow="1" w:lastRow="1" w:firstColumn="1" w:lastColumn="1" w:noHBand="0" w:noVBand="0"/>
        </w:tblPrEx>
        <w:tc>
          <w:tcPr>
            <w:tcW w:w="737" w:type="dxa"/>
            <w:shd w:val="clear" w:color="auto" w:fill="auto"/>
            <w:vAlign w:val="center"/>
          </w:tcPr>
          <w:p w:rsidR="00F54F5A" w:rsidRPr="002A00EB" w:rsidRDefault="00F54F5A" w:rsidP="00D72689">
            <w:pPr>
              <w:jc w:val="center"/>
            </w:pPr>
            <w:r w:rsidRPr="002A00EB">
              <w:rPr>
                <w:sz w:val="22"/>
                <w:szCs w:val="22"/>
              </w:rPr>
              <w:t>2.</w:t>
            </w:r>
          </w:p>
        </w:tc>
        <w:tc>
          <w:tcPr>
            <w:tcW w:w="7056" w:type="dxa"/>
            <w:gridSpan w:val="6"/>
            <w:shd w:val="clear" w:color="auto" w:fill="auto"/>
          </w:tcPr>
          <w:p w:rsidR="00F54F5A" w:rsidRPr="002A00EB" w:rsidRDefault="00AD3D7F" w:rsidP="00D72689">
            <w:r w:rsidRPr="00AD3D7F">
              <w:rPr>
                <w:bCs/>
                <w:kern w:val="16"/>
                <w:sz w:val="22"/>
              </w:rPr>
              <w:t>Preparation for practical work</w:t>
            </w:r>
          </w:p>
        </w:tc>
        <w:tc>
          <w:tcPr>
            <w:tcW w:w="1026" w:type="dxa"/>
            <w:shd w:val="clear" w:color="auto" w:fill="auto"/>
          </w:tcPr>
          <w:p w:rsidR="00F54F5A" w:rsidRPr="002A00EB" w:rsidRDefault="00F54F5A" w:rsidP="00D72689"/>
        </w:tc>
        <w:tc>
          <w:tcPr>
            <w:tcW w:w="1441" w:type="dxa"/>
            <w:shd w:val="clear" w:color="auto" w:fill="auto"/>
          </w:tcPr>
          <w:p w:rsidR="00F54F5A" w:rsidRPr="002A00EB" w:rsidRDefault="00F54F5A" w:rsidP="00D72689"/>
        </w:tc>
      </w:tr>
      <w:tr w:rsidR="00F54F5A" w:rsidRPr="002A00EB" w:rsidTr="00D72689">
        <w:tblPrEx>
          <w:tblLook w:val="01E0" w:firstRow="1" w:lastRow="1" w:firstColumn="1" w:lastColumn="1" w:noHBand="0" w:noVBand="0"/>
        </w:tblPrEx>
        <w:tc>
          <w:tcPr>
            <w:tcW w:w="10260" w:type="dxa"/>
            <w:gridSpan w:val="9"/>
            <w:shd w:val="clear" w:color="auto" w:fill="auto"/>
            <w:vAlign w:val="center"/>
          </w:tcPr>
          <w:p w:rsidR="00151421" w:rsidRDefault="00151421" w:rsidP="00D72689">
            <w:pPr>
              <w:jc w:val="center"/>
              <w:rPr>
                <w:sz w:val="22"/>
                <w:szCs w:val="22"/>
              </w:rPr>
            </w:pPr>
          </w:p>
          <w:p w:rsidR="00F54F5A" w:rsidRPr="002A00EB" w:rsidRDefault="00F54F5A" w:rsidP="00D72689">
            <w:pPr>
              <w:jc w:val="center"/>
            </w:pPr>
            <w:r w:rsidRPr="002A00EB">
              <w:rPr>
                <w:sz w:val="22"/>
                <w:szCs w:val="22"/>
              </w:rPr>
              <w:lastRenderedPageBreak/>
              <w:t>LITERAT</w:t>
            </w:r>
            <w:r w:rsidR="000D7FFB">
              <w:rPr>
                <w:sz w:val="22"/>
                <w:szCs w:val="22"/>
              </w:rPr>
              <w:t>URE</w:t>
            </w:r>
          </w:p>
        </w:tc>
      </w:tr>
      <w:tr w:rsidR="00B97425" w:rsidRPr="002A00EB" w:rsidTr="00B97425">
        <w:tblPrEx>
          <w:tblLook w:val="01E0" w:firstRow="1" w:lastRow="1" w:firstColumn="1" w:lastColumn="1" w:noHBand="0" w:noVBand="0"/>
        </w:tblPrEx>
        <w:trPr>
          <w:trHeight w:val="993"/>
        </w:trPr>
        <w:tc>
          <w:tcPr>
            <w:tcW w:w="737" w:type="dxa"/>
            <w:vMerge w:val="restart"/>
            <w:shd w:val="clear" w:color="auto" w:fill="auto"/>
            <w:textDirection w:val="btLr"/>
            <w:vAlign w:val="center"/>
          </w:tcPr>
          <w:p w:rsidR="00B97425" w:rsidRPr="002A00EB" w:rsidRDefault="000D7FFB" w:rsidP="00B97425">
            <w:pPr>
              <w:ind w:left="113" w:right="113"/>
              <w:jc w:val="center"/>
            </w:pPr>
            <w:r w:rsidRPr="000D7FFB">
              <w:rPr>
                <w:sz w:val="22"/>
                <w:szCs w:val="22"/>
              </w:rPr>
              <w:lastRenderedPageBreak/>
              <w:t>Basic literature</w:t>
            </w:r>
            <w:r w:rsidR="00B97425" w:rsidRPr="002A00EB">
              <w:rPr>
                <w:sz w:val="22"/>
                <w:szCs w:val="22"/>
              </w:rPr>
              <w:t xml:space="preserve"> (M)</w:t>
            </w:r>
          </w:p>
        </w:tc>
        <w:tc>
          <w:tcPr>
            <w:tcW w:w="9523" w:type="dxa"/>
            <w:gridSpan w:val="8"/>
            <w:shd w:val="clear" w:color="auto" w:fill="auto"/>
          </w:tcPr>
          <w:p w:rsidR="00B97425" w:rsidRPr="00B97425" w:rsidRDefault="00B97425" w:rsidP="00B97425">
            <w:pPr>
              <w:numPr>
                <w:ilvl w:val="0"/>
                <w:numId w:val="13"/>
              </w:numPr>
              <w:rPr>
                <w:color w:val="0000FF"/>
              </w:rPr>
            </w:pPr>
            <w:r w:rsidRPr="00B97425">
              <w:rPr>
                <w:sz w:val="22"/>
                <w:szCs w:val="22"/>
              </w:rPr>
              <w:t>Virzieni Valsts nodokļu politikas pamatnostādņu 2021.-2025.gadam izstrādei. Finanšu ministrija. Informatīvais ziņojums</w:t>
            </w:r>
            <w:r>
              <w:rPr>
                <w:sz w:val="22"/>
                <w:szCs w:val="22"/>
              </w:rPr>
              <w:t xml:space="preserve">. </w:t>
            </w:r>
            <w:hyperlink r:id="rId5" w:history="1">
              <w:r w:rsidRPr="00B97425">
                <w:rPr>
                  <w:rStyle w:val="Hipersaite"/>
                  <w:sz w:val="22"/>
                  <w:szCs w:val="22"/>
                </w:rPr>
                <w:t>https://www.lps.lv/uploads/docs_module/1%20NPP%20virzieni_25.02.2020.pdf</w:t>
              </w:r>
            </w:hyperlink>
            <w:r w:rsidRPr="00B97425">
              <w:rPr>
                <w:sz w:val="22"/>
                <w:szCs w:val="22"/>
              </w:rPr>
              <w:t xml:space="preserve">; </w:t>
            </w:r>
            <w:hyperlink r:id="rId6" w:history="1">
              <w:r w:rsidRPr="00B97425">
                <w:rPr>
                  <w:rStyle w:val="Hipersaite"/>
                  <w:sz w:val="22"/>
                  <w:szCs w:val="22"/>
                </w:rPr>
                <w:t>http://tap.mk.gov.lv/doc/2020_03/InfZin_VNPP_25022020.276.DOCX</w:t>
              </w:r>
            </w:hyperlink>
          </w:p>
        </w:tc>
      </w:tr>
      <w:tr w:rsidR="00136265" w:rsidRPr="002A00EB" w:rsidTr="00136265">
        <w:tblPrEx>
          <w:tblLook w:val="01E0" w:firstRow="1" w:lastRow="1" w:firstColumn="1" w:lastColumn="1" w:noHBand="0" w:noVBand="0"/>
        </w:tblPrEx>
        <w:trPr>
          <w:trHeight w:val="256"/>
        </w:trPr>
        <w:tc>
          <w:tcPr>
            <w:tcW w:w="737" w:type="dxa"/>
            <w:vMerge/>
            <w:shd w:val="clear" w:color="auto" w:fill="auto"/>
            <w:textDirection w:val="btLr"/>
            <w:vAlign w:val="center"/>
          </w:tcPr>
          <w:p w:rsidR="00136265" w:rsidRPr="002A00EB" w:rsidRDefault="00136265" w:rsidP="00B97425">
            <w:pPr>
              <w:ind w:left="113" w:right="113"/>
              <w:jc w:val="center"/>
            </w:pPr>
          </w:p>
        </w:tc>
        <w:tc>
          <w:tcPr>
            <w:tcW w:w="9523" w:type="dxa"/>
            <w:gridSpan w:val="8"/>
            <w:shd w:val="clear" w:color="auto" w:fill="auto"/>
          </w:tcPr>
          <w:p w:rsidR="00136265" w:rsidRPr="00B97425" w:rsidRDefault="00136265" w:rsidP="00B97425">
            <w:pPr>
              <w:numPr>
                <w:ilvl w:val="0"/>
                <w:numId w:val="13"/>
              </w:numPr>
            </w:pPr>
            <w:r w:rsidRPr="00B97425">
              <w:rPr>
                <w:sz w:val="22"/>
              </w:rPr>
              <w:t xml:space="preserve">Ketners, K., Titova, S. Nodokļu politika Eiropas Savienības vidē. </w:t>
            </w:r>
            <w:r>
              <w:rPr>
                <w:sz w:val="22"/>
              </w:rPr>
              <w:t xml:space="preserve">– </w:t>
            </w:r>
            <w:r w:rsidRPr="00B97425">
              <w:rPr>
                <w:sz w:val="22"/>
              </w:rPr>
              <w:t>Rīga: BA Biznesa un finanšu pētniecības centrs, 2013. 244 lpp. ISBN 9789984746142.</w:t>
            </w:r>
          </w:p>
        </w:tc>
      </w:tr>
      <w:tr w:rsidR="00B97425" w:rsidRPr="002A00EB" w:rsidTr="00D72689">
        <w:tblPrEx>
          <w:tblLook w:val="01E0" w:firstRow="1" w:lastRow="1" w:firstColumn="1" w:lastColumn="1" w:noHBand="0" w:noVBand="0"/>
        </w:tblPrEx>
        <w:tc>
          <w:tcPr>
            <w:tcW w:w="737" w:type="dxa"/>
            <w:vMerge/>
            <w:shd w:val="clear" w:color="auto" w:fill="auto"/>
          </w:tcPr>
          <w:p w:rsidR="00B97425" w:rsidRPr="002A00EB" w:rsidRDefault="00B97425" w:rsidP="00B97425"/>
        </w:tc>
        <w:tc>
          <w:tcPr>
            <w:tcW w:w="9523" w:type="dxa"/>
            <w:gridSpan w:val="8"/>
            <w:shd w:val="clear" w:color="auto" w:fill="auto"/>
          </w:tcPr>
          <w:p w:rsidR="00B97425" w:rsidRPr="00B97425" w:rsidRDefault="00B97425" w:rsidP="00B97425">
            <w:pPr>
              <w:pStyle w:val="Sarakstarindkopa"/>
              <w:numPr>
                <w:ilvl w:val="0"/>
                <w:numId w:val="13"/>
              </w:numPr>
            </w:pPr>
            <w:r w:rsidRPr="00B97425">
              <w:rPr>
                <w:iCs/>
                <w:sz w:val="22"/>
                <w:szCs w:val="22"/>
              </w:rPr>
              <w:t>Taxation trends in the European Union: data for the EU Member States,: 2021 edition</w:t>
            </w:r>
            <w:r w:rsidRPr="00B97425">
              <w:rPr>
                <w:i/>
                <w:iCs/>
                <w:sz w:val="22"/>
                <w:szCs w:val="22"/>
              </w:rPr>
              <w:t xml:space="preserve">. </w:t>
            </w:r>
            <w:r w:rsidRPr="00B97425">
              <w:rPr>
                <w:sz w:val="22"/>
                <w:szCs w:val="22"/>
              </w:rPr>
              <w:t xml:space="preserve">European Commission, Directorate-General for Taxation and Customs Union. </w:t>
            </w:r>
            <w:proofErr w:type="spellStart"/>
            <w:r w:rsidRPr="00B97425">
              <w:rPr>
                <w:sz w:val="22"/>
                <w:szCs w:val="22"/>
              </w:rPr>
              <w:t>Publications</w:t>
            </w:r>
            <w:proofErr w:type="spellEnd"/>
            <w:r w:rsidRPr="00B97425">
              <w:rPr>
                <w:sz w:val="22"/>
                <w:szCs w:val="22"/>
              </w:rPr>
              <w:t xml:space="preserve"> Office, 2021, </w:t>
            </w:r>
            <w:hyperlink r:id="rId7" w:tgtFrame="_blank" w:history="1">
              <w:r w:rsidRPr="00B97425">
                <w:rPr>
                  <w:rStyle w:val="Hipersaite"/>
                  <w:sz w:val="22"/>
                  <w:szCs w:val="22"/>
                </w:rPr>
                <w:t>https://data.europa.eu/doi/10.2778/843047</w:t>
              </w:r>
            </w:hyperlink>
          </w:p>
        </w:tc>
      </w:tr>
      <w:tr w:rsidR="00B97425" w:rsidRPr="002A00EB" w:rsidTr="00D72689">
        <w:tblPrEx>
          <w:tblLook w:val="01E0" w:firstRow="1" w:lastRow="1" w:firstColumn="1" w:lastColumn="1" w:noHBand="0" w:noVBand="0"/>
        </w:tblPrEx>
        <w:tc>
          <w:tcPr>
            <w:tcW w:w="737" w:type="dxa"/>
            <w:vMerge/>
            <w:shd w:val="clear" w:color="auto" w:fill="auto"/>
          </w:tcPr>
          <w:p w:rsidR="00B97425" w:rsidRPr="002A00EB" w:rsidRDefault="00B97425" w:rsidP="00B97425"/>
        </w:tc>
        <w:tc>
          <w:tcPr>
            <w:tcW w:w="9523" w:type="dxa"/>
            <w:gridSpan w:val="8"/>
            <w:shd w:val="clear" w:color="auto" w:fill="auto"/>
          </w:tcPr>
          <w:p w:rsidR="00B97425" w:rsidRPr="008F3B84" w:rsidRDefault="00B97425" w:rsidP="00B97425">
            <w:pPr>
              <w:pStyle w:val="Sarakstarindkopa"/>
              <w:numPr>
                <w:ilvl w:val="0"/>
                <w:numId w:val="13"/>
              </w:numPr>
              <w:jc w:val="both"/>
            </w:pPr>
            <w:r w:rsidRPr="00B97425">
              <w:rPr>
                <w:sz w:val="22"/>
                <w:szCs w:val="22"/>
              </w:rPr>
              <w:t>Škapars R. Šumilo Ē., Dunska M. Nodokļu politikas tiesiskie un ekonomiskie aspekti un to ietekme uz uzņēmējdarbības vidi Latvijā [monogrāfija]. – R.: LU Akadēmiskais apgāds, 2010. – 230 lpp.</w:t>
            </w:r>
          </w:p>
        </w:tc>
      </w:tr>
      <w:tr w:rsidR="00B97425" w:rsidRPr="002A00EB" w:rsidTr="00D72689">
        <w:tblPrEx>
          <w:tblLook w:val="01E0" w:firstRow="1" w:lastRow="1" w:firstColumn="1" w:lastColumn="1" w:noHBand="0" w:noVBand="0"/>
        </w:tblPrEx>
        <w:tc>
          <w:tcPr>
            <w:tcW w:w="737" w:type="dxa"/>
            <w:vMerge/>
            <w:shd w:val="clear" w:color="auto" w:fill="auto"/>
          </w:tcPr>
          <w:p w:rsidR="00B97425" w:rsidRPr="002A00EB" w:rsidRDefault="00B97425" w:rsidP="00B97425"/>
        </w:tc>
        <w:tc>
          <w:tcPr>
            <w:tcW w:w="9523" w:type="dxa"/>
            <w:gridSpan w:val="8"/>
            <w:shd w:val="clear" w:color="auto" w:fill="auto"/>
          </w:tcPr>
          <w:p w:rsidR="00B97425" w:rsidRPr="00B97425" w:rsidRDefault="00B97425" w:rsidP="00B97425">
            <w:pPr>
              <w:numPr>
                <w:ilvl w:val="0"/>
                <w:numId w:val="13"/>
              </w:numPr>
              <w:jc w:val="both"/>
              <w:rPr>
                <w:spacing w:val="-2"/>
              </w:rPr>
            </w:pPr>
            <w:r w:rsidRPr="00B97425">
              <w:rPr>
                <w:spacing w:val="-2"/>
                <w:sz w:val="22"/>
                <w:szCs w:val="22"/>
              </w:rPr>
              <w:t>Kavale L. Nodokļu politikas un administrēšanas pamati. – R.: LU Akadēmiskais apgāds, 2018. – 78 lpp.</w:t>
            </w:r>
          </w:p>
        </w:tc>
      </w:tr>
      <w:tr w:rsidR="00B97425" w:rsidRPr="002A00EB" w:rsidTr="00D72689">
        <w:tblPrEx>
          <w:tblLook w:val="01E0" w:firstRow="1" w:lastRow="1" w:firstColumn="1" w:lastColumn="1" w:noHBand="0" w:noVBand="0"/>
        </w:tblPrEx>
        <w:tc>
          <w:tcPr>
            <w:tcW w:w="737" w:type="dxa"/>
            <w:vMerge/>
            <w:shd w:val="clear" w:color="auto" w:fill="auto"/>
          </w:tcPr>
          <w:p w:rsidR="00B97425" w:rsidRPr="002A00EB" w:rsidRDefault="00B97425" w:rsidP="00B97425"/>
        </w:tc>
        <w:tc>
          <w:tcPr>
            <w:tcW w:w="9523" w:type="dxa"/>
            <w:gridSpan w:val="8"/>
            <w:shd w:val="clear" w:color="auto" w:fill="auto"/>
          </w:tcPr>
          <w:p w:rsidR="00B97425" w:rsidRPr="008F3B84" w:rsidRDefault="00B97425" w:rsidP="00B97425">
            <w:pPr>
              <w:numPr>
                <w:ilvl w:val="0"/>
                <w:numId w:val="13"/>
              </w:numPr>
              <w:jc w:val="both"/>
            </w:pPr>
            <w:r w:rsidRPr="008F3B84">
              <w:rPr>
                <w:sz w:val="22"/>
                <w:szCs w:val="22"/>
              </w:rPr>
              <w:t>Orehova A. Nodokļu sistēmas izmantošanas iespējas uzņēmējdarbības veicināšanai Latvijā. – R., 20</w:t>
            </w:r>
            <w:r>
              <w:rPr>
                <w:sz w:val="22"/>
                <w:szCs w:val="22"/>
              </w:rPr>
              <w:t>10</w:t>
            </w:r>
            <w:r w:rsidRPr="008F3B84">
              <w:rPr>
                <w:sz w:val="22"/>
                <w:szCs w:val="22"/>
              </w:rPr>
              <w:t>.</w:t>
            </w:r>
          </w:p>
        </w:tc>
      </w:tr>
      <w:tr w:rsidR="00B97425" w:rsidRPr="002A00EB" w:rsidTr="00D72689">
        <w:tblPrEx>
          <w:tblLook w:val="01E0" w:firstRow="1" w:lastRow="1" w:firstColumn="1" w:lastColumn="1" w:noHBand="0" w:noVBand="0"/>
        </w:tblPrEx>
        <w:tc>
          <w:tcPr>
            <w:tcW w:w="737" w:type="dxa"/>
            <w:vMerge/>
            <w:shd w:val="clear" w:color="auto" w:fill="auto"/>
          </w:tcPr>
          <w:p w:rsidR="00B97425" w:rsidRPr="002A00EB" w:rsidRDefault="00B97425" w:rsidP="00B97425"/>
        </w:tc>
        <w:tc>
          <w:tcPr>
            <w:tcW w:w="9523" w:type="dxa"/>
            <w:gridSpan w:val="8"/>
            <w:shd w:val="clear" w:color="auto" w:fill="auto"/>
          </w:tcPr>
          <w:p w:rsidR="00B97425" w:rsidRPr="008F3B84" w:rsidRDefault="00B97425" w:rsidP="00B97425">
            <w:pPr>
              <w:numPr>
                <w:ilvl w:val="0"/>
                <w:numId w:val="13"/>
              </w:numPr>
              <w:jc w:val="both"/>
            </w:pPr>
            <w:r w:rsidRPr="008F3B84">
              <w:rPr>
                <w:sz w:val="22"/>
                <w:szCs w:val="22"/>
              </w:rPr>
              <w:t>Andrējeva, V. Ketners K. Valsts ieņēmumu teorijas pamati. – R.: Rīgas Tehniskā universitāte, 2008. – 440 lpp.</w:t>
            </w:r>
          </w:p>
        </w:tc>
      </w:tr>
      <w:tr w:rsidR="00B97425" w:rsidRPr="002A00EB" w:rsidTr="00B97425">
        <w:tblPrEx>
          <w:tblLook w:val="01E0" w:firstRow="1" w:lastRow="1" w:firstColumn="1" w:lastColumn="1" w:noHBand="0" w:noVBand="0"/>
        </w:tblPrEx>
        <w:trPr>
          <w:trHeight w:val="312"/>
        </w:trPr>
        <w:tc>
          <w:tcPr>
            <w:tcW w:w="737" w:type="dxa"/>
            <w:vMerge/>
            <w:shd w:val="clear" w:color="auto" w:fill="auto"/>
          </w:tcPr>
          <w:p w:rsidR="00B97425" w:rsidRPr="002A00EB" w:rsidRDefault="00B97425" w:rsidP="00B97425"/>
        </w:tc>
        <w:tc>
          <w:tcPr>
            <w:tcW w:w="9523" w:type="dxa"/>
            <w:gridSpan w:val="8"/>
            <w:shd w:val="clear" w:color="auto" w:fill="auto"/>
          </w:tcPr>
          <w:p w:rsidR="00B97425" w:rsidRPr="008F3B84" w:rsidRDefault="00B97425" w:rsidP="00B97425">
            <w:pPr>
              <w:numPr>
                <w:ilvl w:val="0"/>
                <w:numId w:val="13"/>
              </w:numPr>
              <w:jc w:val="both"/>
            </w:pPr>
            <w:r w:rsidRPr="008F3B84">
              <w:rPr>
                <w:sz w:val="22"/>
                <w:szCs w:val="22"/>
              </w:rPr>
              <w:t>Kodoliņa-Miglāne I. Nodokļi Latvijā 2007. – R.: BA Turība, 2007. – 109 lpp.</w:t>
            </w:r>
          </w:p>
        </w:tc>
      </w:tr>
      <w:tr w:rsidR="00B97425" w:rsidRPr="002A00EB" w:rsidTr="00D72689">
        <w:tblPrEx>
          <w:tblLook w:val="01E0" w:firstRow="1" w:lastRow="1" w:firstColumn="1" w:lastColumn="1" w:noHBand="0" w:noVBand="0"/>
        </w:tblPrEx>
        <w:tc>
          <w:tcPr>
            <w:tcW w:w="737" w:type="dxa"/>
            <w:vMerge/>
            <w:shd w:val="clear" w:color="auto" w:fill="auto"/>
          </w:tcPr>
          <w:p w:rsidR="00B97425" w:rsidRPr="002A00EB" w:rsidRDefault="00B97425" w:rsidP="00B97425"/>
        </w:tc>
        <w:tc>
          <w:tcPr>
            <w:tcW w:w="9523" w:type="dxa"/>
            <w:gridSpan w:val="8"/>
            <w:shd w:val="clear" w:color="auto" w:fill="auto"/>
          </w:tcPr>
          <w:p w:rsidR="00B97425" w:rsidRPr="008F3B84" w:rsidRDefault="00B97425" w:rsidP="00B97425">
            <w:pPr>
              <w:numPr>
                <w:ilvl w:val="0"/>
                <w:numId w:val="13"/>
              </w:numPr>
              <w:jc w:val="both"/>
            </w:pPr>
            <w:r w:rsidRPr="008F3B84">
              <w:rPr>
                <w:sz w:val="22"/>
                <w:szCs w:val="22"/>
              </w:rPr>
              <w:t>Lukašina O. Nodokļi Latvijā. Analīze un praktiski ieteikumi. – R.: Merkurijs Lat, 2002. – 263 lpp.</w:t>
            </w:r>
          </w:p>
        </w:tc>
      </w:tr>
      <w:tr w:rsidR="00B97425" w:rsidRPr="002A00EB" w:rsidTr="00D72689">
        <w:tblPrEx>
          <w:tblLook w:val="01E0" w:firstRow="1" w:lastRow="1" w:firstColumn="1" w:lastColumn="1" w:noHBand="0" w:noVBand="0"/>
        </w:tblPrEx>
        <w:tc>
          <w:tcPr>
            <w:tcW w:w="737" w:type="dxa"/>
            <w:vMerge/>
            <w:shd w:val="clear" w:color="auto" w:fill="auto"/>
          </w:tcPr>
          <w:p w:rsidR="00B97425" w:rsidRPr="002A00EB" w:rsidRDefault="00B97425" w:rsidP="00B97425"/>
        </w:tc>
        <w:tc>
          <w:tcPr>
            <w:tcW w:w="9523" w:type="dxa"/>
            <w:gridSpan w:val="8"/>
            <w:shd w:val="clear" w:color="auto" w:fill="auto"/>
          </w:tcPr>
          <w:p w:rsidR="00B97425" w:rsidRPr="008F3B84" w:rsidRDefault="00B97425" w:rsidP="00B97425">
            <w:pPr>
              <w:numPr>
                <w:ilvl w:val="0"/>
                <w:numId w:val="13"/>
              </w:numPr>
              <w:jc w:val="both"/>
            </w:pPr>
            <w:r w:rsidRPr="008F3B84">
              <w:rPr>
                <w:sz w:val="22"/>
                <w:szCs w:val="22"/>
              </w:rPr>
              <w:t>Sīpola E. Mūsdienu nodokļu teorija. – R.: Rīgas Tehniskā universitāte, 2001. – 159 lpp.</w:t>
            </w:r>
          </w:p>
        </w:tc>
      </w:tr>
      <w:tr w:rsidR="00B97425" w:rsidRPr="002A00EB" w:rsidTr="00B97425">
        <w:tblPrEx>
          <w:tblLook w:val="01E0" w:firstRow="1" w:lastRow="1" w:firstColumn="1" w:lastColumn="1" w:noHBand="0" w:noVBand="0"/>
        </w:tblPrEx>
        <w:trPr>
          <w:trHeight w:val="485"/>
        </w:trPr>
        <w:tc>
          <w:tcPr>
            <w:tcW w:w="737" w:type="dxa"/>
            <w:vMerge w:val="restart"/>
            <w:shd w:val="clear" w:color="auto" w:fill="auto"/>
            <w:textDirection w:val="btLr"/>
            <w:vAlign w:val="center"/>
          </w:tcPr>
          <w:p w:rsidR="000D7FFB" w:rsidRPr="000D7FFB" w:rsidRDefault="000D7FFB" w:rsidP="000D7FFB">
            <w:pPr>
              <w:ind w:left="113" w:right="113"/>
              <w:jc w:val="center"/>
            </w:pPr>
            <w:r w:rsidRPr="000D7FFB">
              <w:rPr>
                <w:sz w:val="22"/>
                <w:szCs w:val="22"/>
              </w:rPr>
              <w:t>Additional-</w:t>
            </w:r>
          </w:p>
          <w:p w:rsidR="00B97425" w:rsidRPr="002A00EB" w:rsidRDefault="000D7FFB" w:rsidP="000D7FFB">
            <w:pPr>
              <w:ind w:left="113" w:right="113"/>
              <w:jc w:val="center"/>
            </w:pPr>
            <w:r w:rsidRPr="000D7FFB">
              <w:rPr>
                <w:sz w:val="22"/>
                <w:szCs w:val="22"/>
              </w:rPr>
              <w:t>literature</w:t>
            </w:r>
            <w:r w:rsidR="00B97425" w:rsidRPr="002A00EB">
              <w:rPr>
                <w:sz w:val="22"/>
                <w:szCs w:val="22"/>
              </w:rPr>
              <w:t xml:space="preserve"> (P)</w:t>
            </w:r>
          </w:p>
        </w:tc>
        <w:tc>
          <w:tcPr>
            <w:tcW w:w="9523" w:type="dxa"/>
            <w:gridSpan w:val="8"/>
            <w:shd w:val="clear" w:color="auto" w:fill="auto"/>
          </w:tcPr>
          <w:p w:rsidR="00B97425" w:rsidRPr="00B97425" w:rsidRDefault="00B97425" w:rsidP="00B97425">
            <w:pPr>
              <w:numPr>
                <w:ilvl w:val="0"/>
                <w:numId w:val="13"/>
              </w:numPr>
              <w:jc w:val="both"/>
            </w:pPr>
            <w:r w:rsidRPr="008F3B84">
              <w:rPr>
                <w:sz w:val="22"/>
                <w:szCs w:val="22"/>
              </w:rPr>
              <w:t>Ketners K. Nodokļi Eiropas Savienībā un Latvijā: salīdzinoša analīze un praktiski ieteikumi. – R.: Merkūrijs Lat, 2008. – 237 lpp.</w:t>
            </w:r>
          </w:p>
        </w:tc>
      </w:tr>
      <w:tr w:rsidR="00B97425" w:rsidRPr="002A00EB" w:rsidTr="00D72689">
        <w:tblPrEx>
          <w:tblLook w:val="01E0" w:firstRow="1" w:lastRow="1" w:firstColumn="1" w:lastColumn="1" w:noHBand="0" w:noVBand="0"/>
        </w:tblPrEx>
        <w:trPr>
          <w:trHeight w:val="313"/>
        </w:trPr>
        <w:tc>
          <w:tcPr>
            <w:tcW w:w="737" w:type="dxa"/>
            <w:vMerge/>
            <w:shd w:val="clear" w:color="auto" w:fill="auto"/>
            <w:textDirection w:val="btLr"/>
            <w:vAlign w:val="center"/>
          </w:tcPr>
          <w:p w:rsidR="00B97425" w:rsidRPr="002A00EB" w:rsidRDefault="00B97425" w:rsidP="00B97425">
            <w:pPr>
              <w:ind w:left="113" w:right="113"/>
              <w:jc w:val="center"/>
            </w:pPr>
          </w:p>
        </w:tc>
        <w:tc>
          <w:tcPr>
            <w:tcW w:w="9523" w:type="dxa"/>
            <w:gridSpan w:val="8"/>
            <w:shd w:val="clear" w:color="auto" w:fill="auto"/>
          </w:tcPr>
          <w:p w:rsidR="00B97425" w:rsidRPr="008F3B84" w:rsidRDefault="00B97425" w:rsidP="00B97425">
            <w:pPr>
              <w:numPr>
                <w:ilvl w:val="0"/>
                <w:numId w:val="13"/>
              </w:numPr>
              <w:jc w:val="both"/>
            </w:pPr>
            <w:r w:rsidRPr="008F3B84">
              <w:rPr>
                <w:sz w:val="22"/>
                <w:szCs w:val="22"/>
              </w:rPr>
              <w:t>Jarve K., Butāne I., Zīrape I. Eiropas nodokļi Latvijā. – R.: Latvijas Ekonomists, 2004. – 189 lpp.</w:t>
            </w:r>
          </w:p>
        </w:tc>
      </w:tr>
      <w:tr w:rsidR="00B97425" w:rsidRPr="002A00EB" w:rsidTr="00D72689">
        <w:tblPrEx>
          <w:tblLook w:val="01E0" w:firstRow="1" w:lastRow="1" w:firstColumn="1" w:lastColumn="1" w:noHBand="0" w:noVBand="0"/>
        </w:tblPrEx>
        <w:trPr>
          <w:trHeight w:val="313"/>
        </w:trPr>
        <w:tc>
          <w:tcPr>
            <w:tcW w:w="737" w:type="dxa"/>
            <w:vMerge/>
            <w:shd w:val="clear" w:color="auto" w:fill="auto"/>
            <w:textDirection w:val="btLr"/>
            <w:vAlign w:val="center"/>
          </w:tcPr>
          <w:p w:rsidR="00B97425" w:rsidRPr="002A00EB" w:rsidRDefault="00B97425" w:rsidP="00B97425">
            <w:pPr>
              <w:ind w:left="113" w:right="113"/>
              <w:jc w:val="center"/>
            </w:pPr>
          </w:p>
        </w:tc>
        <w:tc>
          <w:tcPr>
            <w:tcW w:w="9523" w:type="dxa"/>
            <w:gridSpan w:val="8"/>
            <w:shd w:val="clear" w:color="auto" w:fill="auto"/>
          </w:tcPr>
          <w:p w:rsidR="00B97425" w:rsidRPr="008F3B84" w:rsidRDefault="00B97425" w:rsidP="00B97425">
            <w:pPr>
              <w:numPr>
                <w:ilvl w:val="0"/>
                <w:numId w:val="13"/>
              </w:numPr>
              <w:jc w:val="both"/>
              <w:rPr>
                <w:lang w:val="en-US"/>
              </w:rPr>
            </w:pPr>
            <w:r w:rsidRPr="008F3B84">
              <w:rPr>
                <w:sz w:val="22"/>
                <w:szCs w:val="22"/>
                <w:lang w:val="en-US"/>
              </w:rPr>
              <w:t xml:space="preserve">Tax Policy Handbook/ Ed. by. </w:t>
            </w:r>
            <w:proofErr w:type="spellStart"/>
            <w:r w:rsidRPr="008F3B84">
              <w:rPr>
                <w:sz w:val="22"/>
                <w:szCs w:val="22"/>
                <w:lang w:val="en-US"/>
              </w:rPr>
              <w:t>Shome</w:t>
            </w:r>
            <w:proofErr w:type="spellEnd"/>
            <w:r w:rsidRPr="008F3B84">
              <w:rPr>
                <w:sz w:val="22"/>
                <w:szCs w:val="22"/>
                <w:lang w:val="en-US"/>
              </w:rPr>
              <w:t xml:space="preserve"> </w:t>
            </w:r>
            <w:proofErr w:type="spellStart"/>
            <w:r w:rsidRPr="008F3B84">
              <w:rPr>
                <w:sz w:val="22"/>
                <w:szCs w:val="22"/>
                <w:lang w:val="en-US"/>
              </w:rPr>
              <w:t>Parthasarathi</w:t>
            </w:r>
            <w:proofErr w:type="spellEnd"/>
            <w:r w:rsidRPr="008F3B84">
              <w:rPr>
                <w:sz w:val="22"/>
                <w:szCs w:val="22"/>
                <w:lang w:val="en-US"/>
              </w:rPr>
              <w:t>. – Washington DC: International Monetary Fund, 1995. – 320 p.</w:t>
            </w:r>
          </w:p>
        </w:tc>
      </w:tr>
      <w:tr w:rsidR="00B97425" w:rsidRPr="002A00EB" w:rsidTr="00D72689">
        <w:tblPrEx>
          <w:tblLook w:val="01E0" w:firstRow="1" w:lastRow="1" w:firstColumn="1" w:lastColumn="1" w:noHBand="0" w:noVBand="0"/>
        </w:tblPrEx>
        <w:trPr>
          <w:trHeight w:val="313"/>
        </w:trPr>
        <w:tc>
          <w:tcPr>
            <w:tcW w:w="737" w:type="dxa"/>
            <w:vMerge/>
            <w:shd w:val="clear" w:color="auto" w:fill="auto"/>
            <w:textDirection w:val="btLr"/>
            <w:vAlign w:val="center"/>
          </w:tcPr>
          <w:p w:rsidR="00B97425" w:rsidRPr="002A00EB" w:rsidRDefault="00B97425" w:rsidP="00B97425">
            <w:pPr>
              <w:ind w:left="113" w:right="113"/>
              <w:jc w:val="center"/>
            </w:pPr>
          </w:p>
        </w:tc>
        <w:tc>
          <w:tcPr>
            <w:tcW w:w="9523" w:type="dxa"/>
            <w:gridSpan w:val="8"/>
            <w:shd w:val="clear" w:color="auto" w:fill="auto"/>
          </w:tcPr>
          <w:p w:rsidR="00B97425" w:rsidRPr="008F3B84" w:rsidRDefault="00B97425" w:rsidP="00B97425">
            <w:pPr>
              <w:numPr>
                <w:ilvl w:val="0"/>
                <w:numId w:val="13"/>
              </w:numPr>
              <w:jc w:val="both"/>
              <w:rPr>
                <w:lang w:val="ru-RU"/>
              </w:rPr>
            </w:pPr>
            <w:r w:rsidRPr="008F3B84">
              <w:rPr>
                <w:sz w:val="22"/>
                <w:szCs w:val="22"/>
                <w:lang w:val="ru-RU"/>
              </w:rPr>
              <w:t>Тютюрюков Н. Н. Налоговые системы зарубежных стран: Европа и США/ учебное пособие. – М.: Дашков и Кo, 2002. – 174 с.</w:t>
            </w:r>
          </w:p>
        </w:tc>
      </w:tr>
      <w:tr w:rsidR="00F54F5A" w:rsidRPr="002A00EB" w:rsidTr="00D72689">
        <w:tblPrEx>
          <w:tblLook w:val="01E0" w:firstRow="1" w:lastRow="1" w:firstColumn="1" w:lastColumn="1" w:noHBand="0" w:noVBand="0"/>
        </w:tblPrEx>
        <w:tc>
          <w:tcPr>
            <w:tcW w:w="737" w:type="dxa"/>
            <w:vMerge w:val="restart"/>
            <w:shd w:val="clear" w:color="auto" w:fill="auto"/>
            <w:textDirection w:val="btLr"/>
            <w:vAlign w:val="center"/>
          </w:tcPr>
          <w:p w:rsidR="000D7FFB" w:rsidRPr="000D7FFB" w:rsidRDefault="000D7FFB" w:rsidP="000D7FFB">
            <w:pPr>
              <w:ind w:left="113" w:right="113"/>
              <w:jc w:val="center"/>
            </w:pPr>
            <w:r w:rsidRPr="000D7FFB">
              <w:rPr>
                <w:sz w:val="22"/>
                <w:szCs w:val="22"/>
              </w:rPr>
              <w:t>Recommended</w:t>
            </w:r>
          </w:p>
          <w:p w:rsidR="00F54F5A" w:rsidRPr="002A00EB" w:rsidRDefault="000D7FFB" w:rsidP="000D7FFB">
            <w:pPr>
              <w:ind w:left="113" w:right="113"/>
              <w:jc w:val="center"/>
            </w:pPr>
            <w:r w:rsidRPr="000D7FFB">
              <w:rPr>
                <w:sz w:val="22"/>
                <w:szCs w:val="22"/>
              </w:rPr>
              <w:t xml:space="preserve">Literature </w:t>
            </w:r>
            <w:r w:rsidR="00F54F5A" w:rsidRPr="002A00EB">
              <w:rPr>
                <w:sz w:val="22"/>
                <w:szCs w:val="22"/>
              </w:rPr>
              <w:t>(I)</w:t>
            </w:r>
          </w:p>
        </w:tc>
        <w:tc>
          <w:tcPr>
            <w:tcW w:w="9523" w:type="dxa"/>
            <w:gridSpan w:val="8"/>
            <w:shd w:val="clear" w:color="auto" w:fill="auto"/>
          </w:tcPr>
          <w:p w:rsidR="00F54F5A" w:rsidRPr="002A00EB" w:rsidRDefault="00F54F5A" w:rsidP="00F54F5A">
            <w:pPr>
              <w:numPr>
                <w:ilvl w:val="0"/>
                <w:numId w:val="11"/>
              </w:numPr>
              <w:tabs>
                <w:tab w:val="clear" w:pos="720"/>
                <w:tab w:val="num" w:pos="413"/>
              </w:tabs>
              <w:autoSpaceDE w:val="0"/>
              <w:autoSpaceDN w:val="0"/>
              <w:ind w:left="413"/>
            </w:pPr>
          </w:p>
        </w:tc>
      </w:tr>
      <w:tr w:rsidR="00F54F5A" w:rsidRPr="002A00EB" w:rsidTr="00D72689">
        <w:tblPrEx>
          <w:tblLook w:val="01E0" w:firstRow="1" w:lastRow="1" w:firstColumn="1" w:lastColumn="1" w:noHBand="0" w:noVBand="0"/>
        </w:tblPrEx>
        <w:tc>
          <w:tcPr>
            <w:tcW w:w="737" w:type="dxa"/>
            <w:vMerge/>
            <w:shd w:val="clear" w:color="auto" w:fill="auto"/>
            <w:textDirection w:val="btLr"/>
            <w:vAlign w:val="center"/>
          </w:tcPr>
          <w:p w:rsidR="00F54F5A" w:rsidRPr="002A00EB" w:rsidRDefault="00F54F5A" w:rsidP="00D72689">
            <w:pPr>
              <w:ind w:left="113" w:right="113"/>
              <w:jc w:val="center"/>
            </w:pPr>
          </w:p>
        </w:tc>
        <w:tc>
          <w:tcPr>
            <w:tcW w:w="9523" w:type="dxa"/>
            <w:gridSpan w:val="8"/>
            <w:shd w:val="clear" w:color="auto" w:fill="auto"/>
          </w:tcPr>
          <w:p w:rsidR="00F54F5A" w:rsidRPr="002A00EB" w:rsidRDefault="00F54F5A" w:rsidP="00D72689"/>
        </w:tc>
      </w:tr>
      <w:tr w:rsidR="00F54F5A" w:rsidRPr="002A00EB" w:rsidTr="00D72689">
        <w:tblPrEx>
          <w:tblLook w:val="01E0" w:firstRow="1" w:lastRow="1" w:firstColumn="1" w:lastColumn="1" w:noHBand="0" w:noVBand="0"/>
        </w:tblPrEx>
        <w:tc>
          <w:tcPr>
            <w:tcW w:w="737" w:type="dxa"/>
            <w:vMerge/>
            <w:shd w:val="clear" w:color="auto" w:fill="auto"/>
            <w:textDirection w:val="btLr"/>
            <w:vAlign w:val="center"/>
          </w:tcPr>
          <w:p w:rsidR="00F54F5A" w:rsidRPr="002A00EB" w:rsidRDefault="00F54F5A" w:rsidP="00D72689">
            <w:pPr>
              <w:ind w:left="113" w:right="113"/>
              <w:jc w:val="center"/>
            </w:pPr>
          </w:p>
        </w:tc>
        <w:tc>
          <w:tcPr>
            <w:tcW w:w="9523" w:type="dxa"/>
            <w:gridSpan w:val="8"/>
            <w:shd w:val="clear" w:color="auto" w:fill="auto"/>
          </w:tcPr>
          <w:p w:rsidR="00F54F5A" w:rsidRPr="002A00EB" w:rsidRDefault="00F54F5A" w:rsidP="00D72689"/>
        </w:tc>
      </w:tr>
      <w:tr w:rsidR="00F54F5A" w:rsidRPr="002A00EB" w:rsidTr="00D72689">
        <w:tblPrEx>
          <w:tblLook w:val="01E0" w:firstRow="1" w:lastRow="1" w:firstColumn="1" w:lastColumn="1" w:noHBand="0" w:noVBand="0"/>
        </w:tblPrEx>
        <w:tc>
          <w:tcPr>
            <w:tcW w:w="737" w:type="dxa"/>
            <w:vMerge/>
            <w:shd w:val="clear" w:color="auto" w:fill="auto"/>
          </w:tcPr>
          <w:p w:rsidR="00F54F5A" w:rsidRPr="002A00EB" w:rsidRDefault="00F54F5A" w:rsidP="00D72689"/>
        </w:tc>
        <w:tc>
          <w:tcPr>
            <w:tcW w:w="9523" w:type="dxa"/>
            <w:gridSpan w:val="8"/>
            <w:shd w:val="clear" w:color="auto" w:fill="auto"/>
          </w:tcPr>
          <w:p w:rsidR="00F54F5A" w:rsidRPr="002A00EB" w:rsidRDefault="00F54F5A" w:rsidP="00D72689"/>
        </w:tc>
      </w:tr>
      <w:tr w:rsidR="00F54F5A" w:rsidRPr="002A00EB" w:rsidTr="00D72689">
        <w:tblPrEx>
          <w:tblLook w:val="01E0" w:firstRow="1" w:lastRow="1" w:firstColumn="1" w:lastColumn="1" w:noHBand="0" w:noVBand="0"/>
        </w:tblPrEx>
        <w:tc>
          <w:tcPr>
            <w:tcW w:w="737" w:type="dxa"/>
            <w:vMerge/>
            <w:shd w:val="clear" w:color="auto" w:fill="auto"/>
          </w:tcPr>
          <w:p w:rsidR="00F54F5A" w:rsidRPr="002A00EB" w:rsidRDefault="00F54F5A" w:rsidP="00D72689"/>
        </w:tc>
        <w:tc>
          <w:tcPr>
            <w:tcW w:w="9523" w:type="dxa"/>
            <w:gridSpan w:val="8"/>
            <w:shd w:val="clear" w:color="auto" w:fill="auto"/>
          </w:tcPr>
          <w:p w:rsidR="00F54F5A" w:rsidRPr="002A00EB" w:rsidRDefault="00F54F5A" w:rsidP="00D72689">
            <w:pPr>
              <w:tabs>
                <w:tab w:val="num" w:pos="420"/>
              </w:tabs>
            </w:pPr>
          </w:p>
        </w:tc>
      </w:tr>
      <w:tr w:rsidR="00F54F5A" w:rsidRPr="002A00EB" w:rsidTr="00D72689">
        <w:tblPrEx>
          <w:tblLook w:val="01E0" w:firstRow="1" w:lastRow="1" w:firstColumn="1" w:lastColumn="1" w:noHBand="0" w:noVBand="0"/>
        </w:tblPrEx>
        <w:tc>
          <w:tcPr>
            <w:tcW w:w="737" w:type="dxa"/>
            <w:vMerge/>
            <w:shd w:val="clear" w:color="auto" w:fill="auto"/>
          </w:tcPr>
          <w:p w:rsidR="00F54F5A" w:rsidRPr="002A00EB" w:rsidRDefault="00F54F5A" w:rsidP="00D72689"/>
        </w:tc>
        <w:tc>
          <w:tcPr>
            <w:tcW w:w="9523" w:type="dxa"/>
            <w:gridSpan w:val="8"/>
            <w:shd w:val="clear" w:color="auto" w:fill="auto"/>
          </w:tcPr>
          <w:p w:rsidR="00F54F5A" w:rsidRPr="002A00EB" w:rsidRDefault="00F54F5A" w:rsidP="00D72689"/>
        </w:tc>
      </w:tr>
    </w:tbl>
    <w:p w:rsidR="00E94B48" w:rsidRDefault="00E94B48" w:rsidP="00B97425">
      <w:pPr>
        <w:jc w:val="both"/>
        <w:rPr>
          <w:sz w:val="22"/>
          <w:szCs w:val="22"/>
        </w:rPr>
      </w:pPr>
    </w:p>
    <w:p w:rsidR="00151421" w:rsidRPr="00151421" w:rsidRDefault="00151421" w:rsidP="00151421">
      <w:pPr>
        <w:rPr>
          <w:sz w:val="20"/>
          <w:lang w:val="en-GB"/>
        </w:rPr>
      </w:pPr>
      <w:r w:rsidRPr="00151421">
        <w:rPr>
          <w:sz w:val="20"/>
          <w:lang w:val="ru-RU"/>
        </w:rPr>
        <w:tab/>
      </w:r>
      <w:r w:rsidRPr="00151421">
        <w:rPr>
          <w:sz w:val="20"/>
          <w:lang w:val="en-GB"/>
        </w:rPr>
        <w:t>The head of the Study course</w:t>
      </w:r>
      <w:r w:rsidRPr="00151421">
        <w:rPr>
          <w:sz w:val="20"/>
          <w:lang w:val="en-GB"/>
        </w:rPr>
        <w:tab/>
        <w:t xml:space="preserve"> _____________________ </w:t>
      </w:r>
      <w:proofErr w:type="spellStart"/>
      <w:proofErr w:type="gramStart"/>
      <w:r w:rsidRPr="00151421">
        <w:rPr>
          <w:sz w:val="20"/>
          <w:u w:val="single"/>
          <w:lang w:val="en-GB"/>
        </w:rPr>
        <w:t>Mag.sc.ing</w:t>
      </w:r>
      <w:proofErr w:type="spellEnd"/>
      <w:r w:rsidRPr="00151421">
        <w:rPr>
          <w:sz w:val="20"/>
          <w:u w:val="single"/>
          <w:lang w:val="en-GB"/>
        </w:rPr>
        <w:t>.,</w:t>
      </w:r>
      <w:proofErr w:type="gramEnd"/>
      <w:r w:rsidRPr="00151421">
        <w:rPr>
          <w:sz w:val="20"/>
          <w:u w:val="single"/>
          <w:lang w:val="en-GB"/>
        </w:rPr>
        <w:t xml:space="preserve"> Guest lecturer </w:t>
      </w:r>
      <w:proofErr w:type="spellStart"/>
      <w:r w:rsidRPr="00151421">
        <w:rPr>
          <w:sz w:val="20"/>
          <w:u w:val="single"/>
          <w:lang w:val="en-GB"/>
        </w:rPr>
        <w:t>Ingrīda</w:t>
      </w:r>
      <w:proofErr w:type="spellEnd"/>
      <w:r w:rsidRPr="00151421">
        <w:rPr>
          <w:sz w:val="20"/>
          <w:u w:val="single"/>
          <w:lang w:val="en-GB"/>
        </w:rPr>
        <w:t xml:space="preserve"> Jespere</w:t>
      </w:r>
    </w:p>
    <w:p w:rsidR="00151421" w:rsidRPr="00151421" w:rsidRDefault="00151421" w:rsidP="00151421">
      <w:pPr>
        <w:tabs>
          <w:tab w:val="left" w:pos="3780"/>
        </w:tabs>
        <w:rPr>
          <w:i/>
          <w:sz w:val="20"/>
          <w:lang w:val="en-GB"/>
        </w:rPr>
      </w:pPr>
      <w:r w:rsidRPr="00151421">
        <w:rPr>
          <w:i/>
          <w:sz w:val="20"/>
          <w:lang w:val="en-GB"/>
        </w:rPr>
        <w:tab/>
      </w:r>
      <w:r w:rsidRPr="00151421">
        <w:rPr>
          <w:i/>
          <w:sz w:val="20"/>
          <w:lang w:val="en-GB"/>
        </w:rPr>
        <w:tab/>
        <w:t>(</w:t>
      </w:r>
      <w:proofErr w:type="gramStart"/>
      <w:r w:rsidRPr="00151421">
        <w:rPr>
          <w:i/>
          <w:sz w:val="20"/>
          <w:lang w:val="en-GB"/>
        </w:rPr>
        <w:t>signature</w:t>
      </w:r>
      <w:proofErr w:type="gramEnd"/>
      <w:r w:rsidRPr="00151421">
        <w:rPr>
          <w:i/>
          <w:sz w:val="20"/>
          <w:lang w:val="en-GB"/>
        </w:rPr>
        <w:t xml:space="preserve">) </w:t>
      </w:r>
      <w:r w:rsidRPr="00151421">
        <w:rPr>
          <w:i/>
          <w:sz w:val="20"/>
          <w:lang w:val="en-GB"/>
        </w:rPr>
        <w:tab/>
        <w:t>(</w:t>
      </w:r>
      <w:proofErr w:type="gramStart"/>
      <w:r w:rsidRPr="00151421">
        <w:rPr>
          <w:i/>
          <w:sz w:val="20"/>
          <w:lang w:val="en-GB"/>
        </w:rPr>
        <w:t>acad</w:t>
      </w:r>
      <w:proofErr w:type="gramEnd"/>
      <w:r w:rsidRPr="00151421">
        <w:rPr>
          <w:i/>
          <w:sz w:val="20"/>
          <w:lang w:val="en-GB"/>
        </w:rPr>
        <w:t>. degree, position, name)</w:t>
      </w:r>
    </w:p>
    <w:p w:rsidR="00151421" w:rsidRPr="00151421" w:rsidRDefault="00151421" w:rsidP="00151421">
      <w:pPr>
        <w:rPr>
          <w:sz w:val="20"/>
          <w:lang w:val="en-GB"/>
        </w:rPr>
      </w:pPr>
      <w:bookmarkStart w:id="0" w:name="_GoBack"/>
      <w:bookmarkEnd w:id="0"/>
    </w:p>
    <w:p w:rsidR="00151421" w:rsidRPr="00151421" w:rsidRDefault="00151421" w:rsidP="00B97425">
      <w:pPr>
        <w:jc w:val="both"/>
        <w:rPr>
          <w:sz w:val="18"/>
          <w:szCs w:val="22"/>
          <w:lang w:val="en-GB"/>
        </w:rPr>
      </w:pPr>
    </w:p>
    <w:sectPr w:rsidR="00151421" w:rsidRPr="00151421" w:rsidSect="00E85C5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25DC"/>
    <w:multiLevelType w:val="hybridMultilevel"/>
    <w:tmpl w:val="95AED2EE"/>
    <w:lvl w:ilvl="0" w:tplc="FD5C6D40">
      <w:start w:val="10"/>
      <w:numFmt w:val="decimal"/>
      <w:lvlText w:val="%1."/>
      <w:lvlJc w:val="left"/>
      <w:pPr>
        <w:tabs>
          <w:tab w:val="num" w:pos="720"/>
        </w:tabs>
        <w:ind w:left="720" w:hanging="360"/>
      </w:pPr>
      <w:rPr>
        <w:rFonts w:ascii="Times New Roman" w:hAnsi="Times New Roman" w:hint="default"/>
        <w:b w:val="0"/>
        <w:i w:val="0"/>
        <w:sz w:val="2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A671FE9"/>
    <w:multiLevelType w:val="hybridMultilevel"/>
    <w:tmpl w:val="BAE21494"/>
    <w:lvl w:ilvl="0" w:tplc="8C4015CE">
      <w:start w:val="1"/>
      <w:numFmt w:val="decimal"/>
      <w:lvlText w:val="%1."/>
      <w:lvlJc w:val="left"/>
      <w:pPr>
        <w:ind w:left="360" w:hanging="360"/>
      </w:pPr>
      <w:rPr>
        <w:color w:val="auto"/>
        <w:sz w:val="22"/>
        <w:szCs w:val="22"/>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644341A"/>
    <w:multiLevelType w:val="hybridMultilevel"/>
    <w:tmpl w:val="5D003754"/>
    <w:lvl w:ilvl="0" w:tplc="22125CB4">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4D3A53"/>
    <w:multiLevelType w:val="hybridMultilevel"/>
    <w:tmpl w:val="8718497C"/>
    <w:lvl w:ilvl="0" w:tplc="131A4F8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E91785"/>
    <w:multiLevelType w:val="hybridMultilevel"/>
    <w:tmpl w:val="1AC2DCA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32017D9E"/>
    <w:multiLevelType w:val="hybridMultilevel"/>
    <w:tmpl w:val="BD4214EE"/>
    <w:lvl w:ilvl="0" w:tplc="8C4015CE">
      <w:start w:val="1"/>
      <w:numFmt w:val="decimal"/>
      <w:lvlText w:val="%1."/>
      <w:lvlJc w:val="left"/>
      <w:pPr>
        <w:ind w:left="360" w:hanging="360"/>
      </w:pPr>
      <w:rPr>
        <w:color w:val="auto"/>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2322909"/>
    <w:multiLevelType w:val="hybridMultilevel"/>
    <w:tmpl w:val="E500F2BA"/>
    <w:lvl w:ilvl="0" w:tplc="131A4F8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E77D26"/>
    <w:multiLevelType w:val="hybridMultilevel"/>
    <w:tmpl w:val="01B61EE6"/>
    <w:lvl w:ilvl="0" w:tplc="131A4F8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15246"/>
    <w:multiLevelType w:val="multilevel"/>
    <w:tmpl w:val="DC94B5E2"/>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bullet"/>
      <w:lvlText w:val=""/>
      <w:lvlJc w:val="left"/>
      <w:pPr>
        <w:ind w:left="1224" w:hanging="504"/>
      </w:pPr>
      <w:rPr>
        <w:rFonts w:ascii="Symbol" w:hAnsi="Symbol" w:hint="default"/>
        <w:sz w:val="2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363725"/>
    <w:multiLevelType w:val="hybridMultilevel"/>
    <w:tmpl w:val="53BCC5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58B7E20"/>
    <w:multiLevelType w:val="hybridMultilevel"/>
    <w:tmpl w:val="C4FA263A"/>
    <w:lvl w:ilvl="0" w:tplc="CAACB812">
      <w:start w:val="16"/>
      <w:numFmt w:val="decimal"/>
      <w:lvlText w:val="%1."/>
      <w:lvlJc w:val="left"/>
      <w:pPr>
        <w:tabs>
          <w:tab w:val="num" w:pos="720"/>
        </w:tabs>
        <w:ind w:left="720" w:hanging="360"/>
      </w:pPr>
      <w:rPr>
        <w:rFonts w:ascii="Times New Roman" w:hAnsi="Times New Roman" w:hint="default"/>
        <w:b w:val="0"/>
        <w:i w:val="0"/>
        <w:sz w:val="2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5F574DBC"/>
    <w:multiLevelType w:val="hybridMultilevel"/>
    <w:tmpl w:val="CE6EF554"/>
    <w:lvl w:ilvl="0" w:tplc="131A4F8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0F1AE3"/>
    <w:multiLevelType w:val="hybridMultilevel"/>
    <w:tmpl w:val="3F2CCB94"/>
    <w:lvl w:ilvl="0" w:tplc="131A4F8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D61A53"/>
    <w:multiLevelType w:val="hybridMultilevel"/>
    <w:tmpl w:val="18221D9C"/>
    <w:lvl w:ilvl="0" w:tplc="3C7CE2E6">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12"/>
  </w:num>
  <w:num w:numId="5">
    <w:abstractNumId w:val="6"/>
  </w:num>
  <w:num w:numId="6">
    <w:abstractNumId w:val="3"/>
  </w:num>
  <w:num w:numId="7">
    <w:abstractNumId w:val="7"/>
  </w:num>
  <w:num w:numId="8">
    <w:abstractNumId w:val="11"/>
  </w:num>
  <w:num w:numId="9">
    <w:abstractNumId w:val="13"/>
  </w:num>
  <w:num w:numId="10">
    <w:abstractNumId w:val="0"/>
  </w:num>
  <w:num w:numId="11">
    <w:abstractNumId w:val="10"/>
  </w:num>
  <w:num w:numId="12">
    <w:abstractNumId w:val="4"/>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AC67B8"/>
    <w:rsid w:val="000D7FFB"/>
    <w:rsid w:val="00136265"/>
    <w:rsid w:val="00151421"/>
    <w:rsid w:val="00160C5A"/>
    <w:rsid w:val="0021668E"/>
    <w:rsid w:val="002A00EB"/>
    <w:rsid w:val="003C35FD"/>
    <w:rsid w:val="005C5860"/>
    <w:rsid w:val="00622019"/>
    <w:rsid w:val="00831A6E"/>
    <w:rsid w:val="008372BD"/>
    <w:rsid w:val="008A096F"/>
    <w:rsid w:val="00AC67B8"/>
    <w:rsid w:val="00AD3D7F"/>
    <w:rsid w:val="00B97425"/>
    <w:rsid w:val="00C25A56"/>
    <w:rsid w:val="00E85C5D"/>
    <w:rsid w:val="00E94B48"/>
    <w:rsid w:val="00F2372A"/>
    <w:rsid w:val="00F41E23"/>
    <w:rsid w:val="00F54F5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F1D3"/>
  <w15:docId w15:val="{67986D29-84F4-4596-AA20-E5EAF3A3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85C5D"/>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semiHidden/>
    <w:rsid w:val="00F54F5A"/>
    <w:pPr>
      <w:tabs>
        <w:tab w:val="center" w:pos="4153"/>
        <w:tab w:val="right" w:pos="8306"/>
      </w:tabs>
    </w:pPr>
    <w:rPr>
      <w:rFonts w:ascii="Bookman Old Style" w:hAnsi="Bookman Old Style"/>
      <w:szCs w:val="20"/>
      <w:lang w:val="en-GB"/>
    </w:rPr>
  </w:style>
  <w:style w:type="character" w:customStyle="1" w:styleId="GalveneRakstz">
    <w:name w:val="Galvene Rakstz."/>
    <w:basedOn w:val="Noklusjumarindkopasfonts"/>
    <w:link w:val="Galvene"/>
    <w:semiHidden/>
    <w:rsid w:val="00F54F5A"/>
    <w:rPr>
      <w:rFonts w:ascii="Bookman Old Style" w:eastAsia="Times New Roman" w:hAnsi="Bookman Old Style" w:cs="Times New Roman"/>
      <w:sz w:val="24"/>
      <w:szCs w:val="20"/>
      <w:lang w:val="en-GB"/>
    </w:rPr>
  </w:style>
  <w:style w:type="paragraph" w:styleId="Pamatteksts">
    <w:name w:val="Body Text"/>
    <w:basedOn w:val="Parasts"/>
    <w:link w:val="PamattekstsRakstz"/>
    <w:semiHidden/>
    <w:rsid w:val="00F54F5A"/>
    <w:rPr>
      <w:b/>
      <w:bCs/>
    </w:rPr>
  </w:style>
  <w:style w:type="character" w:customStyle="1" w:styleId="PamattekstsRakstz">
    <w:name w:val="Pamatteksts Rakstz."/>
    <w:basedOn w:val="Noklusjumarindkopasfonts"/>
    <w:link w:val="Pamatteksts"/>
    <w:semiHidden/>
    <w:rsid w:val="00F54F5A"/>
    <w:rPr>
      <w:rFonts w:ascii="Times New Roman" w:eastAsia="Times New Roman" w:hAnsi="Times New Roman" w:cs="Times New Roman"/>
      <w:b/>
      <w:bCs/>
      <w:sz w:val="24"/>
      <w:szCs w:val="24"/>
    </w:rPr>
  </w:style>
  <w:style w:type="character" w:styleId="Hipersaite">
    <w:name w:val="Hyperlink"/>
    <w:basedOn w:val="Noklusjumarindkopasfonts"/>
    <w:uiPriority w:val="99"/>
    <w:unhideWhenUsed/>
    <w:rsid w:val="00F54F5A"/>
    <w:rPr>
      <w:color w:val="0000FF"/>
      <w:u w:val="single"/>
    </w:rPr>
  </w:style>
  <w:style w:type="paragraph" w:styleId="Sarakstarindkopa">
    <w:name w:val="List Paragraph"/>
    <w:basedOn w:val="Parasts"/>
    <w:uiPriority w:val="34"/>
    <w:qFormat/>
    <w:rsid w:val="002A00EB"/>
    <w:pPr>
      <w:ind w:left="720"/>
      <w:contextualSpacing/>
    </w:pPr>
  </w:style>
  <w:style w:type="character" w:customStyle="1" w:styleId="text-muted">
    <w:name w:val="text-muted"/>
    <w:basedOn w:val="Noklusjumarindkopasfonts"/>
    <w:rsid w:val="00B97425"/>
  </w:style>
  <w:style w:type="character" w:styleId="Izclums">
    <w:name w:val="Emphasis"/>
    <w:basedOn w:val="Noklusjumarindkopasfonts"/>
    <w:uiPriority w:val="20"/>
    <w:qFormat/>
    <w:rsid w:val="00B974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europa.eu/doi/10.2778/8430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p.mk.gov.lv/doc/2020_03/InfZin_VNPP_25022020.276.DOCX" TargetMode="External"/><Relationship Id="rId5" Type="http://schemas.openxmlformats.org/officeDocument/2006/relationships/hyperlink" Target="https://www.lps.lv/uploads/docs_module/1%20NPP%20virzieni_25.02.202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3001</Words>
  <Characters>1712</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Valters</dc:creator>
  <cp:lastModifiedBy>Valters</cp:lastModifiedBy>
  <cp:revision>4</cp:revision>
  <dcterms:created xsi:type="dcterms:W3CDTF">2022-04-22T15:24:00Z</dcterms:created>
  <dcterms:modified xsi:type="dcterms:W3CDTF">2022-04-27T14:39:00Z</dcterms:modified>
</cp:coreProperties>
</file>