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979" w:tblpY="155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1134"/>
        <w:gridCol w:w="2625"/>
        <w:gridCol w:w="1019"/>
        <w:gridCol w:w="1031"/>
        <w:gridCol w:w="15"/>
        <w:gridCol w:w="840"/>
        <w:gridCol w:w="855"/>
      </w:tblGrid>
      <w:tr w:rsidR="00B85DE4" w:rsidRPr="00991BC7" w14:paraId="3AD0BF85" w14:textId="77777777" w:rsidTr="00460572">
        <w:trPr>
          <w:cantSplit/>
          <w:trHeight w:hRule="exact" w:val="719"/>
        </w:trPr>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4A87C" w14:textId="77777777" w:rsidR="00B85DE4" w:rsidRPr="00991BC7" w:rsidRDefault="00B85DE4" w:rsidP="00460572">
            <w:pPr>
              <w:jc w:val="center"/>
              <w:rPr>
                <w:sz w:val="22"/>
                <w:szCs w:val="22"/>
              </w:rPr>
            </w:pPr>
            <w:r w:rsidRPr="00991BC7">
              <w:rPr>
                <w:sz w:val="22"/>
                <w:szCs w:val="22"/>
              </w:rPr>
              <w:t>STUDIJU PRIEKŠMETA NOSAUKUMS</w:t>
            </w:r>
          </w:p>
        </w:tc>
        <w:tc>
          <w:tcPr>
            <w:tcW w:w="63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B0704A" w14:textId="77777777" w:rsidR="00B85DE4" w:rsidRPr="00991BC7" w:rsidRDefault="00503CC3" w:rsidP="00460572">
            <w:pPr>
              <w:jc w:val="center"/>
              <w:rPr>
                <w:b/>
                <w:bCs/>
                <w:kern w:val="16"/>
                <w:sz w:val="36"/>
                <w:szCs w:val="36"/>
              </w:rPr>
            </w:pPr>
            <w:r>
              <w:rPr>
                <w:b/>
                <w:bCs/>
                <w:kern w:val="16"/>
                <w:sz w:val="28"/>
                <w:szCs w:val="36"/>
              </w:rPr>
              <w:t>Eiropas sociālais modelis</w:t>
            </w:r>
          </w:p>
        </w:tc>
      </w:tr>
      <w:tr w:rsidR="00460572" w:rsidRPr="00991BC7" w14:paraId="63428957" w14:textId="4703A9D2" w:rsidTr="00460572">
        <w:trPr>
          <w:cantSplit/>
          <w:trHeight w:hRule="exact" w:val="6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015DF" w14:textId="77777777" w:rsidR="00460572" w:rsidRPr="00991BC7" w:rsidRDefault="00460572" w:rsidP="00460572">
            <w:pPr>
              <w:jc w:val="center"/>
              <w:rPr>
                <w:sz w:val="22"/>
                <w:szCs w:val="22"/>
              </w:rPr>
            </w:pPr>
            <w:r w:rsidRPr="00991BC7">
              <w:rPr>
                <w:sz w:val="22"/>
                <w:szCs w:val="22"/>
              </w:rPr>
              <w:t>KREDĪTPUNKTI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5D7E7B" w14:textId="0C51662F" w:rsidR="00460572" w:rsidRPr="00991BC7" w:rsidRDefault="00460572" w:rsidP="00460572">
            <w:pPr>
              <w:jc w:val="center"/>
              <w:rPr>
                <w:sz w:val="22"/>
                <w:szCs w:val="22"/>
              </w:rPr>
            </w:pPr>
            <w:r>
              <w:rPr>
                <w:b/>
                <w:sz w:val="22"/>
                <w:szCs w:val="22"/>
              </w:rPr>
              <w:t>2 KP</w:t>
            </w:r>
          </w:p>
        </w:tc>
        <w:tc>
          <w:tcPr>
            <w:tcW w:w="4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A198A" w14:textId="77777777" w:rsidR="00460572" w:rsidRPr="00991BC7" w:rsidRDefault="00460572" w:rsidP="00460572">
            <w:pPr>
              <w:jc w:val="center"/>
              <w:rPr>
                <w:bCs/>
                <w:sz w:val="22"/>
                <w:szCs w:val="22"/>
              </w:rPr>
            </w:pPr>
            <w:r w:rsidRPr="00991BC7">
              <w:rPr>
                <w:bCs/>
                <w:sz w:val="22"/>
                <w:szCs w:val="22"/>
              </w:rPr>
              <w:t>APJOMS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6AB49" w14:textId="6652858D" w:rsidR="00460572" w:rsidRPr="00460572" w:rsidRDefault="00460572" w:rsidP="00460572">
            <w:pPr>
              <w:jc w:val="center"/>
              <w:rPr>
                <w:b/>
                <w:sz w:val="22"/>
                <w:szCs w:val="22"/>
              </w:rPr>
            </w:pPr>
            <w:r w:rsidRPr="00460572">
              <w:rPr>
                <w:b/>
                <w:sz w:val="22"/>
                <w:szCs w:val="22"/>
              </w:rPr>
              <w:t>60</w:t>
            </w:r>
          </w:p>
        </w:tc>
      </w:tr>
      <w:tr w:rsidR="00460572" w:rsidRPr="00991BC7" w14:paraId="7E3DBF56" w14:textId="4AAC2210" w:rsidTr="00460572">
        <w:trPr>
          <w:cantSplit/>
          <w:trHeight w:hRule="exact" w:val="815"/>
        </w:trPr>
        <w:tc>
          <w:tcPr>
            <w:tcW w:w="3539" w:type="dxa"/>
            <w:gridSpan w:val="3"/>
            <w:tcBorders>
              <w:top w:val="single" w:sz="4" w:space="0" w:color="auto"/>
              <w:left w:val="single" w:sz="4" w:space="0" w:color="auto"/>
              <w:bottom w:val="single" w:sz="4" w:space="0" w:color="auto"/>
              <w:right w:val="nil"/>
            </w:tcBorders>
            <w:shd w:val="clear" w:color="auto" w:fill="auto"/>
            <w:vAlign w:val="center"/>
          </w:tcPr>
          <w:p w14:paraId="0A9BB004" w14:textId="77777777" w:rsidR="00460572" w:rsidRPr="00991BC7" w:rsidRDefault="00460572" w:rsidP="00460572">
            <w:pPr>
              <w:jc w:val="center"/>
              <w:rPr>
                <w:sz w:val="22"/>
                <w:szCs w:val="22"/>
              </w:rPr>
            </w:pPr>
            <w:r w:rsidRPr="00991BC7">
              <w:rPr>
                <w:sz w:val="22"/>
                <w:szCs w:val="22"/>
              </w:rPr>
              <w:t>PRIEKŠZINĀŠANAS</w:t>
            </w:r>
          </w:p>
        </w:tc>
        <w:tc>
          <w:tcPr>
            <w:tcW w:w="4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C4207" w14:textId="77777777" w:rsidR="00460572" w:rsidRPr="00991BC7" w:rsidRDefault="00460572" w:rsidP="00460572">
            <w:pPr>
              <w:jc w:val="center"/>
              <w:rPr>
                <w:sz w:val="22"/>
                <w:szCs w:val="22"/>
              </w:rPr>
            </w:pPr>
            <w:r>
              <w:rPr>
                <w:sz w:val="22"/>
                <w:szCs w:val="22"/>
              </w:rPr>
              <w:t>Sociālā politika un labklājības valsts 21.gadsimtā; Sociālais dialogs un darba tiesības Eiropas Savienībā</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3A843" w14:textId="77777777" w:rsidR="00460572" w:rsidRPr="00991BC7" w:rsidRDefault="00460572" w:rsidP="00460572">
            <w:pPr>
              <w:jc w:val="center"/>
              <w:rPr>
                <w:sz w:val="22"/>
                <w:szCs w:val="22"/>
              </w:rPr>
            </w:pPr>
          </w:p>
        </w:tc>
      </w:tr>
      <w:tr w:rsidR="00460572" w:rsidRPr="00991BC7" w14:paraId="7F01E3F6" w14:textId="593617BF" w:rsidTr="00460572">
        <w:trPr>
          <w:cantSplit/>
          <w:trHeight w:hRule="exact" w:val="520"/>
        </w:trPr>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23A4F" w14:textId="77777777" w:rsidR="00460572" w:rsidRPr="00991BC7" w:rsidRDefault="00460572" w:rsidP="00460572">
            <w:pPr>
              <w:jc w:val="center"/>
              <w:rPr>
                <w:sz w:val="22"/>
                <w:szCs w:val="22"/>
              </w:rPr>
            </w:pPr>
            <w:r w:rsidRPr="00991BC7">
              <w:rPr>
                <w:sz w:val="22"/>
                <w:szCs w:val="22"/>
              </w:rPr>
              <w:t>ZINĀTŅU NOZARE</w:t>
            </w:r>
          </w:p>
        </w:tc>
        <w:tc>
          <w:tcPr>
            <w:tcW w:w="4675" w:type="dxa"/>
            <w:gridSpan w:val="3"/>
            <w:tcBorders>
              <w:top w:val="single" w:sz="4" w:space="0" w:color="auto"/>
              <w:left w:val="nil"/>
              <w:bottom w:val="nil"/>
              <w:right w:val="single" w:sz="4" w:space="0" w:color="auto"/>
            </w:tcBorders>
            <w:shd w:val="clear" w:color="auto" w:fill="auto"/>
            <w:vAlign w:val="center"/>
          </w:tcPr>
          <w:p w14:paraId="7EE3AA1C" w14:textId="63A10CE1" w:rsidR="00460572" w:rsidRPr="00991BC7" w:rsidRDefault="00460572" w:rsidP="00460572">
            <w:pPr>
              <w:jc w:val="center"/>
              <w:rPr>
                <w:sz w:val="22"/>
                <w:szCs w:val="22"/>
              </w:rPr>
            </w:pPr>
            <w:r w:rsidRPr="00991BC7">
              <w:rPr>
                <w:sz w:val="22"/>
                <w:szCs w:val="22"/>
              </w:rPr>
              <w:t>Socioloģija</w:t>
            </w:r>
            <w:r>
              <w:rPr>
                <w:sz w:val="22"/>
                <w:szCs w:val="22"/>
              </w:rPr>
              <w:t xml:space="preserve"> / Sociālais darbs / Ekonomika</w:t>
            </w:r>
          </w:p>
        </w:tc>
        <w:tc>
          <w:tcPr>
            <w:tcW w:w="1710" w:type="dxa"/>
            <w:gridSpan w:val="3"/>
            <w:tcBorders>
              <w:top w:val="single" w:sz="4" w:space="0" w:color="auto"/>
              <w:left w:val="nil"/>
              <w:bottom w:val="nil"/>
              <w:right w:val="single" w:sz="4" w:space="0" w:color="auto"/>
            </w:tcBorders>
            <w:shd w:val="clear" w:color="auto" w:fill="auto"/>
            <w:vAlign w:val="center"/>
          </w:tcPr>
          <w:p w14:paraId="0B39E8FC" w14:textId="77777777" w:rsidR="00460572" w:rsidRPr="00991BC7" w:rsidRDefault="00460572" w:rsidP="00460572">
            <w:pPr>
              <w:jc w:val="center"/>
              <w:rPr>
                <w:sz w:val="22"/>
                <w:szCs w:val="22"/>
              </w:rPr>
            </w:pPr>
          </w:p>
        </w:tc>
      </w:tr>
      <w:tr w:rsidR="00460572" w:rsidRPr="00991BC7" w14:paraId="5D2BB644" w14:textId="687DCCB1" w:rsidTr="00460572">
        <w:trPr>
          <w:cantSplit/>
          <w:trHeight w:hRule="exact" w:val="400"/>
        </w:trPr>
        <w:tc>
          <w:tcPr>
            <w:tcW w:w="8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9354DF" w14:textId="355BE338" w:rsidR="00460572" w:rsidRPr="00991BC7" w:rsidRDefault="00460572" w:rsidP="00460572">
            <w:pPr>
              <w:rPr>
                <w:sz w:val="22"/>
                <w:szCs w:val="22"/>
              </w:rPr>
            </w:pPr>
            <w:r w:rsidRPr="00991BC7">
              <w:rPr>
                <w:sz w:val="22"/>
                <w:szCs w:val="22"/>
              </w:rPr>
              <w:t xml:space="preserve">LEKCIJU STUNDU SKAITS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297DD" w14:textId="0B7A2002" w:rsidR="00460572" w:rsidRPr="00991BC7" w:rsidRDefault="00460572" w:rsidP="00460572">
            <w:pPr>
              <w:jc w:val="center"/>
              <w:rPr>
                <w:sz w:val="22"/>
                <w:szCs w:val="22"/>
              </w:rPr>
            </w:pPr>
            <w:r w:rsidRPr="00E04C05">
              <w:rPr>
                <w:b/>
                <w:sz w:val="22"/>
                <w:szCs w:val="22"/>
              </w:rPr>
              <w:t>26</w:t>
            </w:r>
          </w:p>
        </w:tc>
      </w:tr>
      <w:tr w:rsidR="00460572" w:rsidRPr="00991BC7" w14:paraId="18ED9D28" w14:textId="4134585C" w:rsidTr="00460572">
        <w:trPr>
          <w:cantSplit/>
          <w:trHeight w:hRule="exact" w:val="400"/>
        </w:trPr>
        <w:tc>
          <w:tcPr>
            <w:tcW w:w="8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FC44F0" w14:textId="30DBB303" w:rsidR="00460572" w:rsidRPr="00991BC7" w:rsidRDefault="00460572" w:rsidP="00460572">
            <w:pPr>
              <w:rPr>
                <w:bCs/>
                <w:sz w:val="22"/>
                <w:szCs w:val="22"/>
              </w:rPr>
            </w:pPr>
            <w:r w:rsidRPr="00991BC7">
              <w:rPr>
                <w:bCs/>
                <w:sz w:val="22"/>
                <w:szCs w:val="22"/>
              </w:rPr>
              <w:t xml:space="preserve">SEMINĀRU VAI PRAKTIKUMU STUNDU SKAITS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E8828" w14:textId="672A98A2" w:rsidR="00460572" w:rsidRPr="00991BC7" w:rsidRDefault="00460572" w:rsidP="00460572">
            <w:pPr>
              <w:jc w:val="center"/>
              <w:rPr>
                <w:bCs/>
                <w:sz w:val="22"/>
                <w:szCs w:val="22"/>
              </w:rPr>
            </w:pPr>
            <w:r w:rsidRPr="00E04C05">
              <w:rPr>
                <w:b/>
                <w:bCs/>
                <w:sz w:val="22"/>
                <w:szCs w:val="22"/>
              </w:rPr>
              <w:t>6</w:t>
            </w:r>
          </w:p>
        </w:tc>
      </w:tr>
      <w:tr w:rsidR="00460572" w:rsidRPr="00991BC7" w14:paraId="5B553B08" w14:textId="12AA3A68" w:rsidTr="00460572">
        <w:trPr>
          <w:cantSplit/>
          <w:trHeight w:hRule="exact" w:val="400"/>
        </w:trPr>
        <w:tc>
          <w:tcPr>
            <w:tcW w:w="8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B2C5A5" w14:textId="11BF5D42" w:rsidR="00460572" w:rsidRPr="00991BC7" w:rsidRDefault="00460572" w:rsidP="00460572">
            <w:pPr>
              <w:rPr>
                <w:bCs/>
                <w:sz w:val="22"/>
                <w:szCs w:val="22"/>
              </w:rPr>
            </w:pPr>
            <w:r w:rsidRPr="00991BC7">
              <w:rPr>
                <w:bCs/>
                <w:sz w:val="22"/>
                <w:szCs w:val="22"/>
              </w:rPr>
              <w:t>PATSTĀVĪGAJAM DARBAM ATVĒLĒTO STUNDU SKAITS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F57AA" w14:textId="273DE438" w:rsidR="00460572" w:rsidRPr="00991BC7" w:rsidRDefault="00460572" w:rsidP="00460572">
            <w:pPr>
              <w:jc w:val="center"/>
              <w:rPr>
                <w:bCs/>
                <w:sz w:val="22"/>
                <w:szCs w:val="22"/>
              </w:rPr>
            </w:pPr>
            <w:r>
              <w:rPr>
                <w:b/>
                <w:bCs/>
                <w:sz w:val="22"/>
                <w:szCs w:val="22"/>
              </w:rPr>
              <w:t>2</w:t>
            </w:r>
            <w:r w:rsidRPr="00E04C05">
              <w:rPr>
                <w:b/>
                <w:bCs/>
                <w:sz w:val="22"/>
                <w:szCs w:val="22"/>
              </w:rPr>
              <w:t>8</w:t>
            </w:r>
          </w:p>
        </w:tc>
      </w:tr>
      <w:tr w:rsidR="00460572" w:rsidRPr="00991BC7" w14:paraId="27F43FE1" w14:textId="705E8A46" w:rsidTr="00460572">
        <w:trPr>
          <w:cantSplit/>
          <w:trHeight w:val="593"/>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97EA" w14:textId="402A921F" w:rsidR="00460572" w:rsidRPr="00991BC7" w:rsidRDefault="00460572" w:rsidP="00460572">
            <w:pPr>
              <w:jc w:val="center"/>
              <w:rPr>
                <w:bCs/>
                <w:sz w:val="22"/>
              </w:rPr>
            </w:pPr>
            <w:r w:rsidRPr="00AF7E76">
              <w:rPr>
                <w:bCs/>
                <w:sz w:val="22"/>
              </w:rPr>
              <w:t>Studiju priekšmets APSTIPRINĀTS:</w:t>
            </w:r>
          </w:p>
        </w:tc>
        <w:tc>
          <w:tcPr>
            <w:tcW w:w="3759" w:type="dxa"/>
            <w:gridSpan w:val="2"/>
            <w:tcBorders>
              <w:top w:val="single" w:sz="4" w:space="0" w:color="auto"/>
              <w:left w:val="nil"/>
              <w:bottom w:val="single" w:sz="4" w:space="0" w:color="auto"/>
              <w:right w:val="single" w:sz="4" w:space="0" w:color="auto"/>
            </w:tcBorders>
            <w:shd w:val="clear" w:color="auto" w:fill="auto"/>
            <w:vAlign w:val="center"/>
          </w:tcPr>
          <w:p w14:paraId="30BEEF6F" w14:textId="4420D747" w:rsidR="00460572" w:rsidRPr="00991BC7" w:rsidRDefault="00460572" w:rsidP="00460572">
            <w:pPr>
              <w:jc w:val="center"/>
              <w:rPr>
                <w:bCs/>
                <w:sz w:val="22"/>
              </w:rPr>
            </w:pPr>
            <w:r w:rsidRPr="00AF7E76">
              <w:rPr>
                <w:sz w:val="22"/>
              </w:rPr>
              <w:t>EKrA Senāta sēdē Nr. 03-24/25</w:t>
            </w: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14:paraId="6DB3CCFB" w14:textId="3AEF8740" w:rsidR="00460572" w:rsidRPr="00991BC7" w:rsidRDefault="00460572" w:rsidP="00460572">
            <w:pPr>
              <w:jc w:val="center"/>
              <w:rPr>
                <w:bCs/>
                <w:sz w:val="22"/>
              </w:rPr>
            </w:pPr>
            <w:r w:rsidRPr="00AF7E76">
              <w:rPr>
                <w:bCs/>
                <w:sz w:val="22"/>
              </w:rPr>
              <w:t>Apstiprināšanas DATUMS</w:t>
            </w:r>
          </w:p>
        </w:tc>
        <w:tc>
          <w:tcPr>
            <w:tcW w:w="1710" w:type="dxa"/>
            <w:gridSpan w:val="3"/>
            <w:tcBorders>
              <w:top w:val="single" w:sz="4" w:space="0" w:color="auto"/>
              <w:left w:val="nil"/>
              <w:bottom w:val="single" w:sz="4" w:space="0" w:color="auto"/>
              <w:right w:val="single" w:sz="4" w:space="0" w:color="auto"/>
            </w:tcBorders>
            <w:shd w:val="clear" w:color="auto" w:fill="auto"/>
            <w:vAlign w:val="center"/>
          </w:tcPr>
          <w:p w14:paraId="75EB9B95" w14:textId="12246E88" w:rsidR="00460572" w:rsidRPr="00991BC7" w:rsidRDefault="00460572" w:rsidP="00460572">
            <w:pPr>
              <w:jc w:val="center"/>
              <w:rPr>
                <w:bCs/>
                <w:sz w:val="22"/>
              </w:rPr>
            </w:pPr>
            <w:r w:rsidRPr="00AF7E76">
              <w:rPr>
                <w:sz w:val="22"/>
              </w:rPr>
              <w:t>20.11.2024.</w:t>
            </w:r>
          </w:p>
        </w:tc>
      </w:tr>
      <w:tr w:rsidR="00460572" w:rsidRPr="00991BC7" w14:paraId="15525528" w14:textId="77777777" w:rsidTr="00460572">
        <w:trPr>
          <w:cantSplit/>
        </w:trPr>
        <w:tc>
          <w:tcPr>
            <w:tcW w:w="9924" w:type="dxa"/>
            <w:gridSpan w:val="9"/>
            <w:tcBorders>
              <w:top w:val="single" w:sz="4" w:space="0" w:color="auto"/>
              <w:left w:val="single" w:sz="4" w:space="0" w:color="auto"/>
              <w:bottom w:val="single" w:sz="4" w:space="0" w:color="auto"/>
              <w:right w:val="single" w:sz="4" w:space="0" w:color="auto"/>
            </w:tcBorders>
            <w:shd w:val="clear" w:color="auto" w:fill="auto"/>
          </w:tcPr>
          <w:p w14:paraId="60436A4F" w14:textId="77777777" w:rsidR="00460572" w:rsidRPr="00991BC7" w:rsidRDefault="00460572" w:rsidP="00460572">
            <w:pPr>
              <w:jc w:val="center"/>
              <w:rPr>
                <w:bCs/>
                <w:sz w:val="22"/>
              </w:rPr>
            </w:pPr>
            <w:r w:rsidRPr="00991BC7">
              <w:rPr>
                <w:bCs/>
                <w:sz w:val="22"/>
              </w:rPr>
              <w:t>KURSA AUTORS (-I)</w:t>
            </w:r>
          </w:p>
        </w:tc>
      </w:tr>
      <w:tr w:rsidR="00460572" w:rsidRPr="00991BC7" w14:paraId="0BBAC5FA" w14:textId="77777777" w:rsidTr="00460572">
        <w:trPr>
          <w:cantSplit/>
        </w:trPr>
        <w:tc>
          <w:tcPr>
            <w:tcW w:w="7183" w:type="dxa"/>
            <w:gridSpan w:val="5"/>
            <w:tcBorders>
              <w:top w:val="single" w:sz="4" w:space="0" w:color="auto"/>
              <w:left w:val="single" w:sz="4" w:space="0" w:color="auto"/>
              <w:bottom w:val="single" w:sz="4" w:space="0" w:color="auto"/>
              <w:right w:val="single" w:sz="4" w:space="0" w:color="auto"/>
            </w:tcBorders>
            <w:shd w:val="clear" w:color="auto" w:fill="auto"/>
          </w:tcPr>
          <w:p w14:paraId="1299AE0F" w14:textId="77777777" w:rsidR="00460572" w:rsidRPr="00991BC7" w:rsidRDefault="00460572" w:rsidP="00460572">
            <w:pPr>
              <w:jc w:val="center"/>
              <w:rPr>
                <w:bCs/>
                <w:sz w:val="22"/>
              </w:rPr>
            </w:pPr>
            <w:r w:rsidRPr="00991BC7">
              <w:rPr>
                <w:bCs/>
                <w:sz w:val="22"/>
              </w:rPr>
              <w:t>Akadēmiskais amats</w:t>
            </w:r>
          </w:p>
        </w:tc>
        <w:tc>
          <w:tcPr>
            <w:tcW w:w="2741" w:type="dxa"/>
            <w:gridSpan w:val="4"/>
            <w:tcBorders>
              <w:top w:val="nil"/>
              <w:left w:val="nil"/>
              <w:bottom w:val="nil"/>
              <w:right w:val="single" w:sz="4" w:space="0" w:color="auto"/>
            </w:tcBorders>
            <w:shd w:val="clear" w:color="auto" w:fill="auto"/>
            <w:vAlign w:val="center"/>
          </w:tcPr>
          <w:p w14:paraId="2CB736B7" w14:textId="77777777" w:rsidR="00460572" w:rsidRPr="00991BC7" w:rsidRDefault="00460572" w:rsidP="00460572">
            <w:pPr>
              <w:jc w:val="center"/>
              <w:rPr>
                <w:bCs/>
                <w:sz w:val="22"/>
              </w:rPr>
            </w:pPr>
            <w:r w:rsidRPr="00991BC7">
              <w:rPr>
                <w:bCs/>
                <w:sz w:val="22"/>
              </w:rPr>
              <w:t>Vārds, uzvārds</w:t>
            </w:r>
          </w:p>
        </w:tc>
      </w:tr>
      <w:tr w:rsidR="00460572" w:rsidRPr="00991BC7" w14:paraId="630EDF14" w14:textId="77777777" w:rsidTr="00460572">
        <w:trPr>
          <w:cantSplit/>
          <w:trHeight w:val="315"/>
        </w:trPr>
        <w:tc>
          <w:tcPr>
            <w:tcW w:w="7183" w:type="dxa"/>
            <w:gridSpan w:val="5"/>
            <w:tcBorders>
              <w:top w:val="single" w:sz="4" w:space="0" w:color="auto"/>
              <w:left w:val="single" w:sz="4" w:space="0" w:color="auto"/>
              <w:bottom w:val="single" w:sz="4" w:space="0" w:color="auto"/>
              <w:right w:val="nil"/>
            </w:tcBorders>
            <w:shd w:val="clear" w:color="auto" w:fill="auto"/>
            <w:vAlign w:val="center"/>
          </w:tcPr>
          <w:p w14:paraId="1749C3D7" w14:textId="77777777" w:rsidR="00460572" w:rsidRPr="00991BC7" w:rsidRDefault="00460572" w:rsidP="00460572">
            <w:pPr>
              <w:jc w:val="center"/>
              <w:rPr>
                <w:sz w:val="22"/>
              </w:rPr>
            </w:pPr>
            <w:r>
              <w:rPr>
                <w:sz w:val="22"/>
              </w:rPr>
              <w:t>Profesors</w:t>
            </w: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AD58B" w14:textId="77777777" w:rsidR="00460572" w:rsidRPr="00991BC7" w:rsidRDefault="00460572" w:rsidP="00460572">
            <w:pPr>
              <w:jc w:val="center"/>
              <w:rPr>
                <w:sz w:val="22"/>
              </w:rPr>
            </w:pPr>
            <w:r>
              <w:rPr>
                <w:sz w:val="22"/>
              </w:rPr>
              <w:t>Olafs Brūvers</w:t>
            </w:r>
          </w:p>
        </w:tc>
      </w:tr>
      <w:tr w:rsidR="00460572" w:rsidRPr="00991BC7" w14:paraId="7101B3CF" w14:textId="77777777" w:rsidTr="00460572">
        <w:trPr>
          <w:cantSplit/>
          <w:trHeight w:val="253"/>
        </w:trPr>
        <w:tc>
          <w:tcPr>
            <w:tcW w:w="9924" w:type="dxa"/>
            <w:gridSpan w:val="9"/>
            <w:tcBorders>
              <w:top w:val="single" w:sz="4" w:space="0" w:color="auto"/>
              <w:left w:val="single" w:sz="4" w:space="0" w:color="auto"/>
              <w:bottom w:val="single" w:sz="4" w:space="0" w:color="auto"/>
              <w:right w:val="single" w:sz="4" w:space="0" w:color="auto"/>
            </w:tcBorders>
            <w:shd w:val="clear" w:color="auto" w:fill="auto"/>
          </w:tcPr>
          <w:p w14:paraId="4C90FB33" w14:textId="77777777" w:rsidR="00460572" w:rsidRPr="00991BC7" w:rsidRDefault="00460572" w:rsidP="00460572">
            <w:pPr>
              <w:jc w:val="center"/>
              <w:rPr>
                <w:sz w:val="22"/>
              </w:rPr>
            </w:pPr>
            <w:r w:rsidRPr="00991BC7">
              <w:rPr>
                <w:sz w:val="22"/>
              </w:rPr>
              <w:t>KURSA ANOTĀCIJA</w:t>
            </w:r>
          </w:p>
        </w:tc>
      </w:tr>
      <w:tr w:rsidR="00460572" w:rsidRPr="00991BC7" w14:paraId="07EDA447" w14:textId="77777777" w:rsidTr="00460572">
        <w:trPr>
          <w:cantSplit/>
          <w:trHeight w:val="757"/>
        </w:trPr>
        <w:tc>
          <w:tcPr>
            <w:tcW w:w="9924" w:type="dxa"/>
            <w:gridSpan w:val="9"/>
            <w:tcBorders>
              <w:top w:val="single" w:sz="4" w:space="0" w:color="auto"/>
              <w:left w:val="single" w:sz="4" w:space="0" w:color="auto"/>
              <w:bottom w:val="nil"/>
              <w:right w:val="single" w:sz="4" w:space="0" w:color="auto"/>
            </w:tcBorders>
            <w:shd w:val="clear" w:color="auto" w:fill="auto"/>
          </w:tcPr>
          <w:p w14:paraId="695BF5B2" w14:textId="77777777" w:rsidR="00460572" w:rsidRPr="00B919D2" w:rsidRDefault="00460572" w:rsidP="00460572">
            <w:pPr>
              <w:rPr>
                <w:kern w:val="16"/>
                <w:sz w:val="22"/>
                <w:szCs w:val="22"/>
              </w:rPr>
            </w:pPr>
            <w:r w:rsidRPr="00B919D2">
              <w:rPr>
                <w:b/>
                <w:sz w:val="22"/>
                <w:szCs w:val="22"/>
              </w:rPr>
              <w:t>Kurss sniedz izpratni</w:t>
            </w:r>
            <w:r w:rsidRPr="00B919D2">
              <w:rPr>
                <w:sz w:val="22"/>
                <w:szCs w:val="22"/>
              </w:rPr>
              <w:t xml:space="preserve"> par Eiropas sociālā modeļa vēsturiskajām saknēm; par trim labklājības valstu veidiem (liberālā, sociāli demokrātiskā, konservatīvā valsts); kā arī studenti iepazīst sešus galvenos Eiropas Sociālā Modeļa balstus, kas atrodas nepārtrauktā attīstībā un pārveidē.</w:t>
            </w:r>
          </w:p>
        </w:tc>
      </w:tr>
      <w:tr w:rsidR="00460572" w:rsidRPr="00991BC7" w14:paraId="743C042C" w14:textId="77777777" w:rsidTr="00460572">
        <w:trPr>
          <w:cantSplit/>
        </w:trPr>
        <w:tc>
          <w:tcPr>
            <w:tcW w:w="9924" w:type="dxa"/>
            <w:gridSpan w:val="9"/>
            <w:tcBorders>
              <w:top w:val="single" w:sz="4" w:space="0" w:color="auto"/>
              <w:left w:val="single" w:sz="4" w:space="0" w:color="auto"/>
              <w:bottom w:val="nil"/>
              <w:right w:val="single" w:sz="4" w:space="0" w:color="auto"/>
            </w:tcBorders>
            <w:shd w:val="clear" w:color="auto" w:fill="auto"/>
          </w:tcPr>
          <w:p w14:paraId="42C3FFE0" w14:textId="77777777" w:rsidR="00460572" w:rsidRPr="00B919D2" w:rsidRDefault="00460572" w:rsidP="00460572">
            <w:pPr>
              <w:jc w:val="center"/>
              <w:rPr>
                <w:sz w:val="22"/>
                <w:szCs w:val="22"/>
              </w:rPr>
            </w:pPr>
            <w:r w:rsidRPr="00B919D2">
              <w:rPr>
                <w:sz w:val="22"/>
                <w:szCs w:val="22"/>
              </w:rPr>
              <w:t>STUDIJU PRIEKŠMETA MĒRĶIS, SAGAIDĀMAIS REZULTĀTS</w:t>
            </w:r>
          </w:p>
        </w:tc>
      </w:tr>
      <w:tr w:rsidR="00460572" w:rsidRPr="00991BC7" w14:paraId="17D77F82" w14:textId="77777777" w:rsidTr="00460572">
        <w:trPr>
          <w:trHeight w:val="496"/>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3D78F6FC" w14:textId="77777777" w:rsidR="00460572" w:rsidRPr="00B919D2" w:rsidRDefault="00460572" w:rsidP="00460572">
            <w:pPr>
              <w:rPr>
                <w:sz w:val="22"/>
                <w:szCs w:val="22"/>
              </w:rPr>
            </w:pPr>
            <w:r w:rsidRPr="00B919D2">
              <w:rPr>
                <w:sz w:val="22"/>
                <w:szCs w:val="22"/>
              </w:rPr>
              <w:t>Zināšanas un izpratne</w:t>
            </w:r>
          </w:p>
        </w:tc>
        <w:tc>
          <w:tcPr>
            <w:tcW w:w="7519" w:type="dxa"/>
            <w:gridSpan w:val="7"/>
            <w:tcBorders>
              <w:top w:val="single" w:sz="4" w:space="0" w:color="auto"/>
              <w:left w:val="single" w:sz="4" w:space="0" w:color="auto"/>
              <w:bottom w:val="single" w:sz="4" w:space="0" w:color="auto"/>
              <w:right w:val="single" w:sz="4" w:space="0" w:color="auto"/>
            </w:tcBorders>
            <w:shd w:val="clear" w:color="auto" w:fill="auto"/>
          </w:tcPr>
          <w:p w14:paraId="64A7E3B5" w14:textId="77777777" w:rsidR="00460572" w:rsidRPr="00B919D2" w:rsidRDefault="00460572" w:rsidP="00460572">
            <w:pPr>
              <w:jc w:val="both"/>
              <w:rPr>
                <w:rFonts w:eastAsia="Calibri"/>
                <w:sz w:val="22"/>
                <w:szCs w:val="22"/>
              </w:rPr>
            </w:pPr>
            <w:r w:rsidRPr="00B919D2">
              <w:rPr>
                <w:kern w:val="16"/>
                <w:sz w:val="22"/>
                <w:szCs w:val="22"/>
              </w:rPr>
              <w:t>Par Eiropas Sociālā Modeļa saturu.</w:t>
            </w:r>
          </w:p>
        </w:tc>
      </w:tr>
      <w:tr w:rsidR="00460572" w:rsidRPr="00991BC7" w14:paraId="1AF386EC" w14:textId="77777777" w:rsidTr="00460572">
        <w:trPr>
          <w:trHeight w:val="41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41434F28" w14:textId="77777777" w:rsidR="00460572" w:rsidRPr="00B919D2" w:rsidRDefault="00460572" w:rsidP="00460572">
            <w:pPr>
              <w:rPr>
                <w:sz w:val="22"/>
                <w:szCs w:val="22"/>
              </w:rPr>
            </w:pPr>
            <w:r w:rsidRPr="00B919D2">
              <w:rPr>
                <w:sz w:val="22"/>
                <w:szCs w:val="22"/>
              </w:rPr>
              <w:t>Spēja pielietot zināšanas</w:t>
            </w:r>
          </w:p>
        </w:tc>
        <w:tc>
          <w:tcPr>
            <w:tcW w:w="7519" w:type="dxa"/>
            <w:gridSpan w:val="7"/>
            <w:tcBorders>
              <w:top w:val="single" w:sz="4" w:space="0" w:color="auto"/>
              <w:left w:val="single" w:sz="4" w:space="0" w:color="auto"/>
              <w:bottom w:val="single" w:sz="4" w:space="0" w:color="auto"/>
              <w:right w:val="single" w:sz="4" w:space="0" w:color="auto"/>
            </w:tcBorders>
            <w:shd w:val="clear" w:color="auto" w:fill="auto"/>
          </w:tcPr>
          <w:p w14:paraId="4E407C76" w14:textId="77777777" w:rsidR="00460572" w:rsidRPr="00B919D2" w:rsidRDefault="00460572" w:rsidP="00460572">
            <w:pPr>
              <w:jc w:val="both"/>
              <w:rPr>
                <w:sz w:val="22"/>
                <w:szCs w:val="22"/>
              </w:rPr>
            </w:pPr>
            <w:r w:rsidRPr="00B919D2">
              <w:rPr>
                <w:kern w:val="16"/>
                <w:sz w:val="22"/>
                <w:szCs w:val="22"/>
              </w:rPr>
              <w:t xml:space="preserve">Prasme aplicēt ESM izpratni profesionālajā darbā </w:t>
            </w:r>
            <w:proofErr w:type="spellStart"/>
            <w:r w:rsidRPr="00B919D2">
              <w:rPr>
                <w:kern w:val="16"/>
                <w:sz w:val="22"/>
                <w:szCs w:val="22"/>
              </w:rPr>
              <w:t>mezo</w:t>
            </w:r>
            <w:proofErr w:type="spellEnd"/>
            <w:r w:rsidRPr="00B919D2">
              <w:rPr>
                <w:kern w:val="16"/>
                <w:sz w:val="22"/>
                <w:szCs w:val="22"/>
              </w:rPr>
              <w:t xml:space="preserve"> un makro līmeņos.</w:t>
            </w:r>
          </w:p>
        </w:tc>
      </w:tr>
      <w:tr w:rsidR="00460572" w:rsidRPr="00991BC7" w14:paraId="5771E5D3" w14:textId="77777777" w:rsidTr="00460572">
        <w:trPr>
          <w:trHeight w:val="55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0B8BCD3A" w14:textId="77777777" w:rsidR="00460572" w:rsidRPr="00B919D2" w:rsidRDefault="00460572" w:rsidP="00460572">
            <w:pPr>
              <w:rPr>
                <w:sz w:val="22"/>
                <w:szCs w:val="22"/>
              </w:rPr>
            </w:pPr>
            <w:r w:rsidRPr="00B919D2">
              <w:rPr>
                <w:sz w:val="22"/>
                <w:szCs w:val="22"/>
              </w:rPr>
              <w:t>Analīze, sintēze, novērtēšana</w:t>
            </w:r>
          </w:p>
        </w:tc>
        <w:tc>
          <w:tcPr>
            <w:tcW w:w="7519" w:type="dxa"/>
            <w:gridSpan w:val="7"/>
            <w:tcBorders>
              <w:top w:val="single" w:sz="4" w:space="0" w:color="auto"/>
              <w:left w:val="single" w:sz="4" w:space="0" w:color="auto"/>
              <w:bottom w:val="single" w:sz="4" w:space="0" w:color="auto"/>
              <w:right w:val="single" w:sz="4" w:space="0" w:color="auto"/>
            </w:tcBorders>
            <w:shd w:val="clear" w:color="auto" w:fill="auto"/>
          </w:tcPr>
          <w:p w14:paraId="0D4CD41C" w14:textId="77777777" w:rsidR="00460572" w:rsidRPr="00B919D2" w:rsidRDefault="00460572" w:rsidP="00460572">
            <w:pPr>
              <w:jc w:val="both"/>
              <w:outlineLvl w:val="0"/>
              <w:rPr>
                <w:sz w:val="22"/>
                <w:szCs w:val="22"/>
              </w:rPr>
            </w:pPr>
            <w:r w:rsidRPr="00B919D2">
              <w:rPr>
                <w:sz w:val="22"/>
                <w:szCs w:val="22"/>
              </w:rPr>
              <w:t xml:space="preserve">Nodrošina ESM zinātnisko bāzi – </w:t>
            </w:r>
            <w:proofErr w:type="spellStart"/>
            <w:r w:rsidRPr="00B919D2">
              <w:rPr>
                <w:sz w:val="22"/>
                <w:szCs w:val="22"/>
              </w:rPr>
              <w:t>faktoloģiski</w:t>
            </w:r>
            <w:proofErr w:type="spellEnd"/>
            <w:r w:rsidRPr="00B919D2">
              <w:rPr>
                <w:sz w:val="22"/>
                <w:szCs w:val="22"/>
              </w:rPr>
              <w:t xml:space="preserve"> un konceptuāli.</w:t>
            </w:r>
          </w:p>
        </w:tc>
      </w:tr>
      <w:tr w:rsidR="00460572" w:rsidRPr="00991BC7" w14:paraId="3D8E8180" w14:textId="77777777" w:rsidTr="00460572">
        <w:trPr>
          <w:trHeight w:val="453"/>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478ABD92" w14:textId="77777777" w:rsidR="00460572" w:rsidRPr="00B919D2" w:rsidRDefault="00460572" w:rsidP="00460572">
            <w:pPr>
              <w:rPr>
                <w:sz w:val="22"/>
                <w:szCs w:val="22"/>
              </w:rPr>
            </w:pPr>
            <w:r w:rsidRPr="00B919D2">
              <w:rPr>
                <w:sz w:val="22"/>
                <w:szCs w:val="22"/>
              </w:rPr>
              <w:t>Komunikācija</w:t>
            </w:r>
          </w:p>
        </w:tc>
        <w:tc>
          <w:tcPr>
            <w:tcW w:w="7519" w:type="dxa"/>
            <w:gridSpan w:val="7"/>
            <w:tcBorders>
              <w:top w:val="single" w:sz="4" w:space="0" w:color="auto"/>
              <w:left w:val="single" w:sz="4" w:space="0" w:color="auto"/>
              <w:bottom w:val="single" w:sz="4" w:space="0" w:color="auto"/>
              <w:right w:val="single" w:sz="4" w:space="0" w:color="auto"/>
            </w:tcBorders>
            <w:shd w:val="clear" w:color="auto" w:fill="auto"/>
          </w:tcPr>
          <w:p w14:paraId="309775CA" w14:textId="77777777" w:rsidR="00460572" w:rsidRPr="00B919D2" w:rsidRDefault="00460572" w:rsidP="00460572">
            <w:pPr>
              <w:jc w:val="both"/>
              <w:outlineLvl w:val="0"/>
              <w:rPr>
                <w:sz w:val="22"/>
                <w:szCs w:val="22"/>
              </w:rPr>
            </w:pPr>
            <w:r w:rsidRPr="00B919D2">
              <w:rPr>
                <w:sz w:val="22"/>
                <w:szCs w:val="22"/>
              </w:rPr>
              <w:t>Nodrošina iespējas integrēt zināšanas starpdisciplinārajā pētniecībā, sniedz dziļu potenciālu sociālo problēmu risināšanā. Prasme piedalīties diskusijās ar sociālās politikas veidotājiem, argumentēti izprotot politiskos risinājumus, to iespējas.</w:t>
            </w:r>
          </w:p>
        </w:tc>
      </w:tr>
      <w:tr w:rsidR="00460572" w:rsidRPr="00991BC7" w14:paraId="01DBD776" w14:textId="77777777" w:rsidTr="00460572">
        <w:trPr>
          <w:cantSplit/>
        </w:trPr>
        <w:tc>
          <w:tcPr>
            <w:tcW w:w="9924" w:type="dxa"/>
            <w:gridSpan w:val="9"/>
            <w:tcBorders>
              <w:top w:val="single" w:sz="4" w:space="0" w:color="auto"/>
              <w:left w:val="single" w:sz="4" w:space="0" w:color="auto"/>
              <w:bottom w:val="nil"/>
              <w:right w:val="single" w:sz="4" w:space="0" w:color="auto"/>
            </w:tcBorders>
            <w:shd w:val="clear" w:color="auto" w:fill="auto"/>
          </w:tcPr>
          <w:p w14:paraId="1F0AF168" w14:textId="77777777" w:rsidR="00460572" w:rsidRPr="00B919D2" w:rsidRDefault="00460572" w:rsidP="00460572">
            <w:pPr>
              <w:jc w:val="center"/>
              <w:rPr>
                <w:sz w:val="22"/>
                <w:szCs w:val="22"/>
              </w:rPr>
            </w:pPr>
            <w:r w:rsidRPr="00B919D2">
              <w:rPr>
                <w:sz w:val="22"/>
                <w:szCs w:val="22"/>
              </w:rPr>
              <w:t>PRASĪBAS KREDĪTPUNKTU IEGŪŠANAI</w:t>
            </w:r>
          </w:p>
        </w:tc>
      </w:tr>
      <w:tr w:rsidR="00460572" w:rsidRPr="00991BC7" w14:paraId="22431EF3" w14:textId="77777777" w:rsidTr="00460572">
        <w:trPr>
          <w:trHeight w:val="557"/>
        </w:trPr>
        <w:tc>
          <w:tcPr>
            <w:tcW w:w="9924" w:type="dxa"/>
            <w:gridSpan w:val="9"/>
            <w:tcBorders>
              <w:top w:val="single" w:sz="4" w:space="0" w:color="auto"/>
              <w:left w:val="single" w:sz="4" w:space="0" w:color="auto"/>
              <w:bottom w:val="single" w:sz="4" w:space="0" w:color="auto"/>
              <w:right w:val="single" w:sz="4" w:space="0" w:color="auto"/>
            </w:tcBorders>
            <w:shd w:val="clear" w:color="auto" w:fill="auto"/>
          </w:tcPr>
          <w:p w14:paraId="69E57194" w14:textId="77777777" w:rsidR="00460572" w:rsidRPr="00B919D2" w:rsidRDefault="00460572" w:rsidP="00460572">
            <w:pPr>
              <w:jc w:val="both"/>
              <w:rPr>
                <w:sz w:val="22"/>
                <w:szCs w:val="22"/>
              </w:rPr>
            </w:pPr>
            <w:proofErr w:type="spellStart"/>
            <w:r w:rsidRPr="00B919D2">
              <w:rPr>
                <w:sz w:val="22"/>
                <w:szCs w:val="22"/>
              </w:rPr>
              <w:t>Akumulatīvā</w:t>
            </w:r>
            <w:proofErr w:type="spellEnd"/>
            <w:r w:rsidRPr="00B919D2">
              <w:rPr>
                <w:sz w:val="22"/>
                <w:szCs w:val="22"/>
              </w:rPr>
              <w:t xml:space="preserve"> kredītpunktu uzskaite un vērtēšana. Lekciju apmeklējums ir obligāts; dalība semināros; literatūras konspekta kvalitāte; referāts; mutvārdu eksāmens.</w:t>
            </w:r>
          </w:p>
        </w:tc>
      </w:tr>
      <w:tr w:rsidR="00460572" w:rsidRPr="00991BC7" w14:paraId="1EC2B6C9" w14:textId="77777777" w:rsidTr="00460572">
        <w:trPr>
          <w:trHeight w:val="199"/>
        </w:trPr>
        <w:tc>
          <w:tcPr>
            <w:tcW w:w="9924" w:type="dxa"/>
            <w:gridSpan w:val="9"/>
            <w:tcBorders>
              <w:top w:val="single" w:sz="4" w:space="0" w:color="auto"/>
              <w:left w:val="single" w:sz="4" w:space="0" w:color="auto"/>
              <w:bottom w:val="single" w:sz="4" w:space="0" w:color="auto"/>
              <w:right w:val="single" w:sz="4" w:space="0" w:color="auto"/>
            </w:tcBorders>
            <w:shd w:val="clear" w:color="auto" w:fill="auto"/>
          </w:tcPr>
          <w:p w14:paraId="04071524" w14:textId="77777777" w:rsidR="00460572" w:rsidRPr="00B919D2" w:rsidRDefault="00460572" w:rsidP="00460572">
            <w:pPr>
              <w:jc w:val="center"/>
              <w:rPr>
                <w:b/>
                <w:sz w:val="22"/>
                <w:szCs w:val="22"/>
              </w:rPr>
            </w:pPr>
            <w:r w:rsidRPr="00B919D2">
              <w:rPr>
                <w:b/>
                <w:sz w:val="22"/>
                <w:szCs w:val="22"/>
              </w:rPr>
              <w:t>KURSA PLĀNS</w:t>
            </w:r>
          </w:p>
        </w:tc>
      </w:tr>
      <w:tr w:rsidR="00460572" w:rsidRPr="00991BC7" w14:paraId="0DA259EE" w14:textId="77777777" w:rsidTr="00460572">
        <w:tblPrEx>
          <w:tblLook w:val="01E0" w:firstRow="1" w:lastRow="1" w:firstColumn="1" w:lastColumn="1" w:noHBand="0" w:noVBand="0"/>
        </w:tblPrEx>
        <w:trPr>
          <w:trHeight w:val="322"/>
        </w:trPr>
        <w:tc>
          <w:tcPr>
            <w:tcW w:w="562" w:type="dxa"/>
            <w:vAlign w:val="center"/>
          </w:tcPr>
          <w:p w14:paraId="2EEAF30B" w14:textId="77777777" w:rsidR="00460572" w:rsidRPr="00B919D2" w:rsidRDefault="00460572" w:rsidP="00460572">
            <w:pPr>
              <w:jc w:val="center"/>
              <w:rPr>
                <w:b/>
                <w:sz w:val="22"/>
                <w:szCs w:val="22"/>
              </w:rPr>
            </w:pPr>
            <w:r w:rsidRPr="00B919D2">
              <w:rPr>
                <w:b/>
                <w:sz w:val="22"/>
                <w:szCs w:val="22"/>
              </w:rPr>
              <w:t>Nr.</w:t>
            </w:r>
          </w:p>
        </w:tc>
        <w:tc>
          <w:tcPr>
            <w:tcW w:w="7667" w:type="dxa"/>
            <w:gridSpan w:val="6"/>
            <w:vAlign w:val="center"/>
          </w:tcPr>
          <w:p w14:paraId="067AC56A" w14:textId="77777777" w:rsidR="00460572" w:rsidRPr="00B919D2" w:rsidRDefault="00460572" w:rsidP="00460572">
            <w:pPr>
              <w:jc w:val="center"/>
              <w:rPr>
                <w:b/>
                <w:sz w:val="22"/>
                <w:szCs w:val="22"/>
              </w:rPr>
            </w:pPr>
            <w:r w:rsidRPr="00B919D2">
              <w:rPr>
                <w:b/>
                <w:sz w:val="22"/>
                <w:szCs w:val="22"/>
              </w:rPr>
              <w:t xml:space="preserve">Tēma </w:t>
            </w:r>
          </w:p>
        </w:tc>
        <w:tc>
          <w:tcPr>
            <w:tcW w:w="840" w:type="dxa"/>
            <w:vAlign w:val="center"/>
          </w:tcPr>
          <w:p w14:paraId="2EF433DF" w14:textId="62544113" w:rsidR="00460572" w:rsidRPr="00B919D2" w:rsidRDefault="00460572" w:rsidP="00460572">
            <w:pPr>
              <w:jc w:val="center"/>
              <w:rPr>
                <w:b/>
                <w:sz w:val="22"/>
                <w:szCs w:val="22"/>
              </w:rPr>
            </w:pPr>
            <w:proofErr w:type="spellStart"/>
            <w:r>
              <w:rPr>
                <w:b/>
                <w:sz w:val="22"/>
                <w:szCs w:val="22"/>
              </w:rPr>
              <w:t>Lekc</w:t>
            </w:r>
            <w:proofErr w:type="spellEnd"/>
            <w:r>
              <w:rPr>
                <w:b/>
                <w:sz w:val="22"/>
                <w:szCs w:val="22"/>
              </w:rPr>
              <w:t>./ Sem.</w:t>
            </w:r>
          </w:p>
        </w:tc>
        <w:tc>
          <w:tcPr>
            <w:tcW w:w="855" w:type="dxa"/>
            <w:vAlign w:val="center"/>
          </w:tcPr>
          <w:p w14:paraId="6976CCF9" w14:textId="77777777" w:rsidR="00460572" w:rsidRPr="00B919D2" w:rsidRDefault="00460572" w:rsidP="00460572">
            <w:pPr>
              <w:jc w:val="center"/>
              <w:rPr>
                <w:b/>
                <w:sz w:val="22"/>
                <w:szCs w:val="22"/>
              </w:rPr>
            </w:pPr>
          </w:p>
        </w:tc>
      </w:tr>
      <w:tr w:rsidR="00460572" w:rsidRPr="00991BC7" w14:paraId="548752DA" w14:textId="77777777" w:rsidTr="00460572">
        <w:tblPrEx>
          <w:tblLook w:val="01E0" w:firstRow="1" w:lastRow="1" w:firstColumn="1" w:lastColumn="1" w:noHBand="0" w:noVBand="0"/>
        </w:tblPrEx>
        <w:trPr>
          <w:trHeight w:val="322"/>
        </w:trPr>
        <w:tc>
          <w:tcPr>
            <w:tcW w:w="562" w:type="dxa"/>
            <w:vAlign w:val="center"/>
          </w:tcPr>
          <w:p w14:paraId="2860C166"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22E839E7" w14:textId="77777777" w:rsidR="00460572" w:rsidRPr="005B7C69" w:rsidRDefault="00460572" w:rsidP="00460572">
            <w:pPr>
              <w:jc w:val="both"/>
              <w:rPr>
                <w:kern w:val="16"/>
                <w:sz w:val="22"/>
                <w:szCs w:val="22"/>
              </w:rPr>
            </w:pPr>
            <w:r w:rsidRPr="005B7C69">
              <w:rPr>
                <w:kern w:val="16"/>
                <w:sz w:val="22"/>
                <w:szCs w:val="22"/>
              </w:rPr>
              <w:t>Eiropas Sociālais Modelis (ESM) – tā vēsture. Sociālā aizsardzība un zinātnē balstītā ekonomika.</w:t>
            </w:r>
          </w:p>
        </w:tc>
        <w:tc>
          <w:tcPr>
            <w:tcW w:w="840" w:type="dxa"/>
            <w:vAlign w:val="center"/>
          </w:tcPr>
          <w:p w14:paraId="42021036" w14:textId="555152AA" w:rsidR="00460572" w:rsidRPr="00B919D2" w:rsidRDefault="00460572" w:rsidP="00460572">
            <w:pPr>
              <w:jc w:val="center"/>
              <w:rPr>
                <w:b/>
                <w:sz w:val="22"/>
                <w:szCs w:val="22"/>
              </w:rPr>
            </w:pPr>
            <w:r w:rsidRPr="00E04C05">
              <w:rPr>
                <w:sz w:val="22"/>
                <w:szCs w:val="22"/>
              </w:rPr>
              <w:t>2</w:t>
            </w:r>
          </w:p>
        </w:tc>
        <w:tc>
          <w:tcPr>
            <w:tcW w:w="855" w:type="dxa"/>
            <w:vAlign w:val="center"/>
          </w:tcPr>
          <w:p w14:paraId="6434B16B" w14:textId="77777777" w:rsidR="00460572" w:rsidRPr="00B919D2" w:rsidRDefault="00460572" w:rsidP="00460572">
            <w:pPr>
              <w:jc w:val="center"/>
              <w:rPr>
                <w:b/>
                <w:sz w:val="22"/>
                <w:szCs w:val="22"/>
              </w:rPr>
            </w:pPr>
          </w:p>
        </w:tc>
      </w:tr>
      <w:tr w:rsidR="00460572" w:rsidRPr="00991BC7" w14:paraId="2C995B9E" w14:textId="77777777" w:rsidTr="00460572">
        <w:tblPrEx>
          <w:tblLook w:val="01E0" w:firstRow="1" w:lastRow="1" w:firstColumn="1" w:lastColumn="1" w:noHBand="0" w:noVBand="0"/>
        </w:tblPrEx>
        <w:trPr>
          <w:trHeight w:val="322"/>
        </w:trPr>
        <w:tc>
          <w:tcPr>
            <w:tcW w:w="562" w:type="dxa"/>
            <w:vAlign w:val="center"/>
          </w:tcPr>
          <w:p w14:paraId="66824E22"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2FFC5F7F" w14:textId="77777777" w:rsidR="00460572" w:rsidRPr="005B7C69" w:rsidRDefault="00460572" w:rsidP="00460572">
            <w:pPr>
              <w:rPr>
                <w:sz w:val="22"/>
                <w:szCs w:val="22"/>
              </w:rPr>
            </w:pPr>
            <w:r w:rsidRPr="005B7C69">
              <w:rPr>
                <w:sz w:val="22"/>
                <w:szCs w:val="22"/>
              </w:rPr>
              <w:t xml:space="preserve">ESM seši galvenie balsti – Eiropas dvēseles atšķirības pamati. Kristietības motivētā solidaritāte un subsidiaritāte, sociālais taisnīgums un cieņa pret cilvēku. </w:t>
            </w:r>
          </w:p>
        </w:tc>
        <w:tc>
          <w:tcPr>
            <w:tcW w:w="840" w:type="dxa"/>
            <w:vAlign w:val="center"/>
          </w:tcPr>
          <w:p w14:paraId="7FE84940" w14:textId="2BDD18A7" w:rsidR="00460572" w:rsidRPr="00B919D2" w:rsidRDefault="00460572" w:rsidP="00460572">
            <w:pPr>
              <w:jc w:val="center"/>
              <w:rPr>
                <w:b/>
                <w:sz w:val="22"/>
                <w:szCs w:val="22"/>
              </w:rPr>
            </w:pPr>
            <w:r w:rsidRPr="00E04C05">
              <w:rPr>
                <w:sz w:val="22"/>
                <w:szCs w:val="22"/>
              </w:rPr>
              <w:t>2</w:t>
            </w:r>
          </w:p>
        </w:tc>
        <w:tc>
          <w:tcPr>
            <w:tcW w:w="855" w:type="dxa"/>
            <w:vAlign w:val="center"/>
          </w:tcPr>
          <w:p w14:paraId="0D4F0C59" w14:textId="77777777" w:rsidR="00460572" w:rsidRPr="00B919D2" w:rsidRDefault="00460572" w:rsidP="00460572">
            <w:pPr>
              <w:jc w:val="center"/>
              <w:rPr>
                <w:b/>
                <w:sz w:val="22"/>
                <w:szCs w:val="22"/>
              </w:rPr>
            </w:pPr>
          </w:p>
        </w:tc>
      </w:tr>
      <w:tr w:rsidR="00460572" w:rsidRPr="00991BC7" w14:paraId="1981AE5E" w14:textId="77777777" w:rsidTr="00460572">
        <w:tblPrEx>
          <w:tblLook w:val="01E0" w:firstRow="1" w:lastRow="1" w:firstColumn="1" w:lastColumn="1" w:noHBand="0" w:noVBand="0"/>
        </w:tblPrEx>
        <w:trPr>
          <w:trHeight w:val="322"/>
        </w:trPr>
        <w:tc>
          <w:tcPr>
            <w:tcW w:w="562" w:type="dxa"/>
            <w:vAlign w:val="center"/>
          </w:tcPr>
          <w:p w14:paraId="125C9976"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05780E46" w14:textId="77777777" w:rsidR="00460572" w:rsidRPr="005B7C69" w:rsidRDefault="00460572" w:rsidP="00460572">
            <w:pPr>
              <w:jc w:val="both"/>
              <w:rPr>
                <w:kern w:val="16"/>
                <w:sz w:val="22"/>
                <w:szCs w:val="22"/>
              </w:rPr>
            </w:pPr>
            <w:r w:rsidRPr="005B7C69">
              <w:rPr>
                <w:kern w:val="16"/>
                <w:sz w:val="22"/>
                <w:szCs w:val="22"/>
              </w:rPr>
              <w:t>Nodarbinātības jautājums un uzlaboti darba apstākļi. Tiesības uz darbu kā neapstrīdamas tiesības un jautājums par uzlabotiem darba apstākļiem.</w:t>
            </w:r>
          </w:p>
        </w:tc>
        <w:tc>
          <w:tcPr>
            <w:tcW w:w="840" w:type="dxa"/>
            <w:vAlign w:val="center"/>
          </w:tcPr>
          <w:p w14:paraId="69C85511" w14:textId="5C0790CA" w:rsidR="00460572" w:rsidRPr="00B919D2" w:rsidRDefault="00460572" w:rsidP="00460572">
            <w:pPr>
              <w:jc w:val="center"/>
              <w:rPr>
                <w:b/>
                <w:sz w:val="22"/>
                <w:szCs w:val="22"/>
              </w:rPr>
            </w:pPr>
            <w:r w:rsidRPr="00E04C05">
              <w:rPr>
                <w:sz w:val="22"/>
                <w:szCs w:val="22"/>
              </w:rPr>
              <w:t>2</w:t>
            </w:r>
          </w:p>
        </w:tc>
        <w:tc>
          <w:tcPr>
            <w:tcW w:w="855" w:type="dxa"/>
            <w:vAlign w:val="center"/>
          </w:tcPr>
          <w:p w14:paraId="45744B83" w14:textId="77777777" w:rsidR="00460572" w:rsidRPr="00B919D2" w:rsidRDefault="00460572" w:rsidP="00460572">
            <w:pPr>
              <w:jc w:val="center"/>
              <w:rPr>
                <w:b/>
                <w:sz w:val="22"/>
                <w:szCs w:val="22"/>
              </w:rPr>
            </w:pPr>
          </w:p>
        </w:tc>
      </w:tr>
      <w:tr w:rsidR="00460572" w:rsidRPr="00991BC7" w14:paraId="5BD2410D" w14:textId="77777777" w:rsidTr="00460572">
        <w:tblPrEx>
          <w:tblLook w:val="01E0" w:firstRow="1" w:lastRow="1" w:firstColumn="1" w:lastColumn="1" w:noHBand="0" w:noVBand="0"/>
        </w:tblPrEx>
        <w:trPr>
          <w:trHeight w:val="322"/>
        </w:trPr>
        <w:tc>
          <w:tcPr>
            <w:tcW w:w="562" w:type="dxa"/>
            <w:vAlign w:val="center"/>
          </w:tcPr>
          <w:p w14:paraId="1F0B1475"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071C8AD9" w14:textId="77777777" w:rsidR="00460572" w:rsidRPr="005B7C69" w:rsidRDefault="00460572" w:rsidP="00460572">
            <w:pPr>
              <w:jc w:val="both"/>
              <w:rPr>
                <w:kern w:val="16"/>
                <w:sz w:val="22"/>
                <w:szCs w:val="22"/>
              </w:rPr>
            </w:pPr>
            <w:r w:rsidRPr="005B7C69">
              <w:rPr>
                <w:kern w:val="16"/>
                <w:sz w:val="22"/>
                <w:szCs w:val="22"/>
              </w:rPr>
              <w:t>Universālas un ilgtspējīgas sociālās aizsardzības sistēmas ES.</w:t>
            </w:r>
          </w:p>
        </w:tc>
        <w:tc>
          <w:tcPr>
            <w:tcW w:w="840" w:type="dxa"/>
            <w:vAlign w:val="center"/>
          </w:tcPr>
          <w:p w14:paraId="6D075F1A" w14:textId="294A7238" w:rsidR="00460572" w:rsidRPr="00B919D2" w:rsidRDefault="00460572" w:rsidP="00460572">
            <w:pPr>
              <w:jc w:val="center"/>
              <w:rPr>
                <w:b/>
                <w:sz w:val="22"/>
                <w:szCs w:val="22"/>
              </w:rPr>
            </w:pPr>
            <w:r w:rsidRPr="00E04C05">
              <w:rPr>
                <w:sz w:val="22"/>
                <w:szCs w:val="22"/>
              </w:rPr>
              <w:t>2</w:t>
            </w:r>
          </w:p>
        </w:tc>
        <w:tc>
          <w:tcPr>
            <w:tcW w:w="855" w:type="dxa"/>
            <w:vAlign w:val="center"/>
          </w:tcPr>
          <w:p w14:paraId="4ED85218" w14:textId="77777777" w:rsidR="00460572" w:rsidRPr="00B919D2" w:rsidRDefault="00460572" w:rsidP="00460572">
            <w:pPr>
              <w:jc w:val="center"/>
              <w:rPr>
                <w:b/>
                <w:sz w:val="22"/>
                <w:szCs w:val="22"/>
              </w:rPr>
            </w:pPr>
          </w:p>
        </w:tc>
      </w:tr>
      <w:tr w:rsidR="00460572" w:rsidRPr="00991BC7" w14:paraId="33A0B7C7" w14:textId="77777777" w:rsidTr="00460572">
        <w:tblPrEx>
          <w:tblLook w:val="01E0" w:firstRow="1" w:lastRow="1" w:firstColumn="1" w:lastColumn="1" w:noHBand="0" w:noVBand="0"/>
        </w:tblPrEx>
        <w:trPr>
          <w:trHeight w:val="322"/>
        </w:trPr>
        <w:tc>
          <w:tcPr>
            <w:tcW w:w="562" w:type="dxa"/>
            <w:vAlign w:val="center"/>
          </w:tcPr>
          <w:p w14:paraId="2C1683DD"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76CD7D97" w14:textId="77777777" w:rsidR="00460572" w:rsidRPr="005B7C69" w:rsidRDefault="00460572" w:rsidP="00460572">
            <w:pPr>
              <w:jc w:val="both"/>
              <w:rPr>
                <w:kern w:val="16"/>
                <w:sz w:val="22"/>
                <w:szCs w:val="22"/>
              </w:rPr>
            </w:pPr>
            <w:r w:rsidRPr="005B7C69">
              <w:rPr>
                <w:kern w:val="16"/>
                <w:sz w:val="22"/>
                <w:szCs w:val="22"/>
              </w:rPr>
              <w:t>Iekļaujoši darba tirgi.</w:t>
            </w:r>
          </w:p>
        </w:tc>
        <w:tc>
          <w:tcPr>
            <w:tcW w:w="840" w:type="dxa"/>
            <w:vAlign w:val="center"/>
          </w:tcPr>
          <w:p w14:paraId="4457EE8F" w14:textId="280CAA35" w:rsidR="00460572" w:rsidRPr="00B919D2" w:rsidRDefault="00460572" w:rsidP="00460572">
            <w:pPr>
              <w:jc w:val="center"/>
              <w:rPr>
                <w:b/>
                <w:sz w:val="22"/>
                <w:szCs w:val="22"/>
              </w:rPr>
            </w:pPr>
            <w:r w:rsidRPr="00E04C05">
              <w:rPr>
                <w:sz w:val="22"/>
                <w:szCs w:val="22"/>
              </w:rPr>
              <w:t>2</w:t>
            </w:r>
          </w:p>
        </w:tc>
        <w:tc>
          <w:tcPr>
            <w:tcW w:w="855" w:type="dxa"/>
            <w:vAlign w:val="center"/>
          </w:tcPr>
          <w:p w14:paraId="7C67C295" w14:textId="77777777" w:rsidR="00460572" w:rsidRPr="00B919D2" w:rsidRDefault="00460572" w:rsidP="00460572">
            <w:pPr>
              <w:jc w:val="center"/>
              <w:rPr>
                <w:b/>
                <w:sz w:val="22"/>
                <w:szCs w:val="22"/>
              </w:rPr>
            </w:pPr>
          </w:p>
        </w:tc>
      </w:tr>
      <w:tr w:rsidR="00460572" w:rsidRPr="00991BC7" w14:paraId="008C699A" w14:textId="77777777" w:rsidTr="00460572">
        <w:tblPrEx>
          <w:tblLook w:val="01E0" w:firstRow="1" w:lastRow="1" w:firstColumn="1" w:lastColumn="1" w:noHBand="0" w:noVBand="0"/>
        </w:tblPrEx>
        <w:trPr>
          <w:trHeight w:val="322"/>
        </w:trPr>
        <w:tc>
          <w:tcPr>
            <w:tcW w:w="562" w:type="dxa"/>
            <w:vAlign w:val="center"/>
          </w:tcPr>
          <w:p w14:paraId="37B72BA1"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09118D44" w14:textId="77777777" w:rsidR="00460572" w:rsidRPr="005B7C69" w:rsidRDefault="00460572" w:rsidP="00460572">
            <w:pPr>
              <w:jc w:val="both"/>
              <w:rPr>
                <w:kern w:val="16"/>
                <w:sz w:val="22"/>
                <w:szCs w:val="22"/>
              </w:rPr>
            </w:pPr>
            <w:r w:rsidRPr="005B7C69">
              <w:rPr>
                <w:kern w:val="16"/>
                <w:sz w:val="22"/>
                <w:szCs w:val="22"/>
              </w:rPr>
              <w:t>Spēcīgs un labi funkcionējošs sociālais dialogs. Eiropas Komisijas platforma EZA (Eiropas Centrs Strādājošo Jautājumos).</w:t>
            </w:r>
          </w:p>
        </w:tc>
        <w:tc>
          <w:tcPr>
            <w:tcW w:w="840" w:type="dxa"/>
            <w:vAlign w:val="center"/>
          </w:tcPr>
          <w:p w14:paraId="01653203" w14:textId="08EA8142" w:rsidR="00460572" w:rsidRPr="00B919D2" w:rsidRDefault="00460572" w:rsidP="00460572">
            <w:pPr>
              <w:jc w:val="center"/>
              <w:rPr>
                <w:b/>
                <w:sz w:val="22"/>
                <w:szCs w:val="22"/>
              </w:rPr>
            </w:pPr>
            <w:r w:rsidRPr="00E04C05">
              <w:rPr>
                <w:sz w:val="22"/>
                <w:szCs w:val="22"/>
              </w:rPr>
              <w:t>2</w:t>
            </w:r>
            <w:r>
              <w:rPr>
                <w:sz w:val="22"/>
                <w:szCs w:val="22"/>
              </w:rPr>
              <w:t xml:space="preserve"> / 2</w:t>
            </w:r>
          </w:p>
        </w:tc>
        <w:tc>
          <w:tcPr>
            <w:tcW w:w="855" w:type="dxa"/>
            <w:vAlign w:val="center"/>
          </w:tcPr>
          <w:p w14:paraId="223C5B6F" w14:textId="77777777" w:rsidR="00460572" w:rsidRPr="00B919D2" w:rsidRDefault="00460572" w:rsidP="00460572">
            <w:pPr>
              <w:jc w:val="center"/>
              <w:rPr>
                <w:b/>
                <w:sz w:val="22"/>
                <w:szCs w:val="22"/>
              </w:rPr>
            </w:pPr>
          </w:p>
        </w:tc>
      </w:tr>
      <w:tr w:rsidR="00460572" w:rsidRPr="00991BC7" w14:paraId="3BEC2E29" w14:textId="77777777" w:rsidTr="00460572">
        <w:tblPrEx>
          <w:tblLook w:val="01E0" w:firstRow="1" w:lastRow="1" w:firstColumn="1" w:lastColumn="1" w:noHBand="0" w:noVBand="0"/>
        </w:tblPrEx>
        <w:trPr>
          <w:trHeight w:val="322"/>
        </w:trPr>
        <w:tc>
          <w:tcPr>
            <w:tcW w:w="562" w:type="dxa"/>
            <w:vAlign w:val="center"/>
          </w:tcPr>
          <w:p w14:paraId="25BBE15F"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33C1BFFC" w14:textId="77777777" w:rsidR="00460572" w:rsidRPr="005B7C69" w:rsidRDefault="00460572" w:rsidP="00460572">
            <w:pPr>
              <w:jc w:val="both"/>
              <w:rPr>
                <w:kern w:val="16"/>
                <w:sz w:val="22"/>
                <w:szCs w:val="22"/>
              </w:rPr>
            </w:pPr>
            <w:r w:rsidRPr="005B7C69">
              <w:rPr>
                <w:kern w:val="16"/>
                <w:sz w:val="22"/>
                <w:szCs w:val="22"/>
              </w:rPr>
              <w:t xml:space="preserve">Sociālie un vispārīgo interešu pakalpojumi. </w:t>
            </w:r>
          </w:p>
        </w:tc>
        <w:tc>
          <w:tcPr>
            <w:tcW w:w="840" w:type="dxa"/>
            <w:vAlign w:val="center"/>
          </w:tcPr>
          <w:p w14:paraId="2AEEF24D" w14:textId="276D77D3" w:rsidR="00460572" w:rsidRPr="00B919D2" w:rsidRDefault="00460572" w:rsidP="00460572">
            <w:pPr>
              <w:jc w:val="center"/>
              <w:rPr>
                <w:b/>
                <w:sz w:val="22"/>
                <w:szCs w:val="22"/>
              </w:rPr>
            </w:pPr>
            <w:r w:rsidRPr="00E04C05">
              <w:rPr>
                <w:sz w:val="22"/>
                <w:szCs w:val="22"/>
              </w:rPr>
              <w:t>2</w:t>
            </w:r>
          </w:p>
        </w:tc>
        <w:tc>
          <w:tcPr>
            <w:tcW w:w="855" w:type="dxa"/>
            <w:vAlign w:val="center"/>
          </w:tcPr>
          <w:p w14:paraId="2BD23FF4" w14:textId="77777777" w:rsidR="00460572" w:rsidRPr="00B919D2" w:rsidRDefault="00460572" w:rsidP="00460572">
            <w:pPr>
              <w:jc w:val="center"/>
              <w:rPr>
                <w:b/>
                <w:sz w:val="22"/>
                <w:szCs w:val="22"/>
              </w:rPr>
            </w:pPr>
          </w:p>
        </w:tc>
      </w:tr>
      <w:tr w:rsidR="00460572" w:rsidRPr="00991BC7" w14:paraId="7BF00EBE" w14:textId="77777777" w:rsidTr="00460572">
        <w:tblPrEx>
          <w:tblLook w:val="01E0" w:firstRow="1" w:lastRow="1" w:firstColumn="1" w:lastColumn="1" w:noHBand="0" w:noVBand="0"/>
        </w:tblPrEx>
        <w:trPr>
          <w:trHeight w:val="322"/>
        </w:trPr>
        <w:tc>
          <w:tcPr>
            <w:tcW w:w="562" w:type="dxa"/>
            <w:vAlign w:val="center"/>
          </w:tcPr>
          <w:p w14:paraId="6EB3AF69"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7E5D4B26" w14:textId="77777777" w:rsidR="00460572" w:rsidRPr="005B7C69" w:rsidRDefault="00460572" w:rsidP="00460572">
            <w:pPr>
              <w:jc w:val="both"/>
              <w:rPr>
                <w:kern w:val="16"/>
                <w:sz w:val="22"/>
                <w:szCs w:val="22"/>
              </w:rPr>
            </w:pPr>
            <w:r w:rsidRPr="005B7C69">
              <w:rPr>
                <w:kern w:val="16"/>
                <w:sz w:val="22"/>
                <w:szCs w:val="22"/>
              </w:rPr>
              <w:t>Sociālā iekļaušana un sociālā kohēzija. Karitatīvā kohēzija.</w:t>
            </w:r>
          </w:p>
        </w:tc>
        <w:tc>
          <w:tcPr>
            <w:tcW w:w="840" w:type="dxa"/>
            <w:vAlign w:val="center"/>
          </w:tcPr>
          <w:p w14:paraId="5C18E252" w14:textId="2D9AB1FF" w:rsidR="00460572" w:rsidRPr="00B919D2" w:rsidRDefault="00460572" w:rsidP="00460572">
            <w:pPr>
              <w:jc w:val="center"/>
              <w:rPr>
                <w:b/>
                <w:sz w:val="22"/>
                <w:szCs w:val="22"/>
              </w:rPr>
            </w:pPr>
            <w:r w:rsidRPr="00E04C05">
              <w:rPr>
                <w:sz w:val="22"/>
                <w:szCs w:val="22"/>
              </w:rPr>
              <w:t>2</w:t>
            </w:r>
            <w:r>
              <w:rPr>
                <w:sz w:val="22"/>
                <w:szCs w:val="22"/>
              </w:rPr>
              <w:t xml:space="preserve"> / 2</w:t>
            </w:r>
          </w:p>
        </w:tc>
        <w:tc>
          <w:tcPr>
            <w:tcW w:w="855" w:type="dxa"/>
            <w:vAlign w:val="center"/>
          </w:tcPr>
          <w:p w14:paraId="41AF44D2" w14:textId="77777777" w:rsidR="00460572" w:rsidRPr="00B919D2" w:rsidRDefault="00460572" w:rsidP="00460572">
            <w:pPr>
              <w:jc w:val="center"/>
              <w:rPr>
                <w:b/>
                <w:sz w:val="22"/>
                <w:szCs w:val="22"/>
              </w:rPr>
            </w:pPr>
          </w:p>
        </w:tc>
      </w:tr>
      <w:tr w:rsidR="00460572" w:rsidRPr="00991BC7" w14:paraId="73BC3BFF" w14:textId="77777777" w:rsidTr="00460572">
        <w:tblPrEx>
          <w:tblLook w:val="01E0" w:firstRow="1" w:lastRow="1" w:firstColumn="1" w:lastColumn="1" w:noHBand="0" w:noVBand="0"/>
        </w:tblPrEx>
        <w:trPr>
          <w:trHeight w:val="322"/>
        </w:trPr>
        <w:tc>
          <w:tcPr>
            <w:tcW w:w="562" w:type="dxa"/>
            <w:vAlign w:val="center"/>
          </w:tcPr>
          <w:p w14:paraId="437282CA"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1B104B4A" w14:textId="77777777" w:rsidR="00460572" w:rsidRPr="005B7C69" w:rsidRDefault="00460572" w:rsidP="00460572">
            <w:pPr>
              <w:jc w:val="both"/>
              <w:rPr>
                <w:kern w:val="16"/>
                <w:sz w:val="22"/>
                <w:szCs w:val="22"/>
              </w:rPr>
            </w:pPr>
            <w:r w:rsidRPr="005B7C69">
              <w:rPr>
                <w:kern w:val="16"/>
                <w:sz w:val="22"/>
                <w:szCs w:val="22"/>
              </w:rPr>
              <w:t xml:space="preserve">ESM stimulēšana; Eiropas Sociālā Modeļa mainīgums un krīze. Sociālās politikas </w:t>
            </w:r>
            <w:proofErr w:type="spellStart"/>
            <w:r w:rsidRPr="005B7C69">
              <w:rPr>
                <w:kern w:val="16"/>
                <w:sz w:val="22"/>
                <w:szCs w:val="22"/>
              </w:rPr>
              <w:t>virsloma</w:t>
            </w:r>
            <w:proofErr w:type="spellEnd"/>
            <w:r w:rsidRPr="005B7C69">
              <w:rPr>
                <w:kern w:val="16"/>
                <w:sz w:val="22"/>
                <w:szCs w:val="22"/>
              </w:rPr>
              <w:t xml:space="preserve"> krīzes pirmajā fāzē</w:t>
            </w:r>
            <w:r w:rsidRPr="005B7C69">
              <w:rPr>
                <w:sz w:val="22"/>
                <w:szCs w:val="22"/>
              </w:rPr>
              <w:t>.</w:t>
            </w:r>
          </w:p>
        </w:tc>
        <w:tc>
          <w:tcPr>
            <w:tcW w:w="840" w:type="dxa"/>
            <w:vAlign w:val="center"/>
          </w:tcPr>
          <w:p w14:paraId="5B25096F" w14:textId="22AB3D09" w:rsidR="00460572" w:rsidRPr="00B919D2" w:rsidRDefault="00460572" w:rsidP="00460572">
            <w:pPr>
              <w:jc w:val="center"/>
              <w:rPr>
                <w:b/>
                <w:sz w:val="22"/>
                <w:szCs w:val="22"/>
              </w:rPr>
            </w:pPr>
            <w:r w:rsidRPr="00E04C05">
              <w:rPr>
                <w:sz w:val="22"/>
                <w:szCs w:val="22"/>
              </w:rPr>
              <w:t>2</w:t>
            </w:r>
          </w:p>
        </w:tc>
        <w:tc>
          <w:tcPr>
            <w:tcW w:w="855" w:type="dxa"/>
            <w:vAlign w:val="center"/>
          </w:tcPr>
          <w:p w14:paraId="36E7BFF7" w14:textId="77777777" w:rsidR="00460572" w:rsidRPr="00B919D2" w:rsidRDefault="00460572" w:rsidP="00460572">
            <w:pPr>
              <w:jc w:val="center"/>
              <w:rPr>
                <w:b/>
                <w:sz w:val="22"/>
                <w:szCs w:val="22"/>
              </w:rPr>
            </w:pPr>
          </w:p>
        </w:tc>
      </w:tr>
      <w:tr w:rsidR="00460572" w:rsidRPr="00991BC7" w14:paraId="7A395326" w14:textId="77777777" w:rsidTr="00460572">
        <w:tblPrEx>
          <w:tblLook w:val="01E0" w:firstRow="1" w:lastRow="1" w:firstColumn="1" w:lastColumn="1" w:noHBand="0" w:noVBand="0"/>
        </w:tblPrEx>
        <w:trPr>
          <w:trHeight w:val="322"/>
        </w:trPr>
        <w:tc>
          <w:tcPr>
            <w:tcW w:w="562" w:type="dxa"/>
            <w:vAlign w:val="center"/>
          </w:tcPr>
          <w:p w14:paraId="17569A9A"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7075CE40" w14:textId="77777777" w:rsidR="00460572" w:rsidRPr="005B7C69" w:rsidRDefault="00460572" w:rsidP="00460572">
            <w:pPr>
              <w:jc w:val="both"/>
              <w:rPr>
                <w:kern w:val="16"/>
                <w:sz w:val="22"/>
                <w:szCs w:val="22"/>
              </w:rPr>
            </w:pPr>
            <w:r w:rsidRPr="005B7C69">
              <w:rPr>
                <w:kern w:val="16"/>
                <w:sz w:val="22"/>
                <w:szCs w:val="22"/>
              </w:rPr>
              <w:t>Zemās algas jautājuma risināšana; nabadzības un nevienlīdzības pieauguma problēma. Krīzes negatīvais iespaids uz vidusšķiru. Nodokļu reforma ES.</w:t>
            </w:r>
          </w:p>
        </w:tc>
        <w:tc>
          <w:tcPr>
            <w:tcW w:w="840" w:type="dxa"/>
            <w:vAlign w:val="center"/>
          </w:tcPr>
          <w:p w14:paraId="727651F3" w14:textId="1E513AFE" w:rsidR="00460572" w:rsidRPr="00B919D2" w:rsidRDefault="00460572" w:rsidP="00460572">
            <w:pPr>
              <w:jc w:val="center"/>
              <w:rPr>
                <w:b/>
                <w:sz w:val="22"/>
                <w:szCs w:val="22"/>
              </w:rPr>
            </w:pPr>
            <w:r w:rsidRPr="00E04C05">
              <w:rPr>
                <w:sz w:val="22"/>
                <w:szCs w:val="22"/>
              </w:rPr>
              <w:t>2</w:t>
            </w:r>
            <w:r>
              <w:rPr>
                <w:sz w:val="22"/>
                <w:szCs w:val="22"/>
              </w:rPr>
              <w:t xml:space="preserve"> / 2</w:t>
            </w:r>
          </w:p>
        </w:tc>
        <w:tc>
          <w:tcPr>
            <w:tcW w:w="855" w:type="dxa"/>
            <w:vAlign w:val="center"/>
          </w:tcPr>
          <w:p w14:paraId="4032DC46" w14:textId="77777777" w:rsidR="00460572" w:rsidRPr="00B919D2" w:rsidRDefault="00460572" w:rsidP="00460572">
            <w:pPr>
              <w:jc w:val="center"/>
              <w:rPr>
                <w:b/>
                <w:sz w:val="22"/>
                <w:szCs w:val="22"/>
              </w:rPr>
            </w:pPr>
          </w:p>
        </w:tc>
      </w:tr>
      <w:tr w:rsidR="00460572" w:rsidRPr="00991BC7" w14:paraId="4AF9B032" w14:textId="77777777" w:rsidTr="00460572">
        <w:tblPrEx>
          <w:tblLook w:val="01E0" w:firstRow="1" w:lastRow="1" w:firstColumn="1" w:lastColumn="1" w:noHBand="0" w:noVBand="0"/>
        </w:tblPrEx>
        <w:trPr>
          <w:trHeight w:val="322"/>
        </w:trPr>
        <w:tc>
          <w:tcPr>
            <w:tcW w:w="562" w:type="dxa"/>
            <w:vAlign w:val="center"/>
          </w:tcPr>
          <w:p w14:paraId="0437E453"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6F3F0004" w14:textId="77777777" w:rsidR="00460572" w:rsidRPr="005B7C69" w:rsidRDefault="00460572" w:rsidP="00460572">
            <w:pPr>
              <w:jc w:val="both"/>
              <w:rPr>
                <w:kern w:val="16"/>
                <w:sz w:val="22"/>
                <w:szCs w:val="22"/>
              </w:rPr>
            </w:pPr>
            <w:r w:rsidRPr="005B7C69">
              <w:rPr>
                <w:kern w:val="16"/>
                <w:sz w:val="22"/>
                <w:szCs w:val="22"/>
              </w:rPr>
              <w:t>ESM pārveides.</w:t>
            </w:r>
          </w:p>
        </w:tc>
        <w:tc>
          <w:tcPr>
            <w:tcW w:w="840" w:type="dxa"/>
            <w:vAlign w:val="center"/>
          </w:tcPr>
          <w:p w14:paraId="5EF09EAD" w14:textId="2D50E902" w:rsidR="00460572" w:rsidRPr="00B919D2" w:rsidRDefault="00460572" w:rsidP="00460572">
            <w:pPr>
              <w:jc w:val="center"/>
              <w:rPr>
                <w:b/>
                <w:sz w:val="22"/>
                <w:szCs w:val="22"/>
              </w:rPr>
            </w:pPr>
            <w:r w:rsidRPr="00E04C05">
              <w:rPr>
                <w:sz w:val="22"/>
                <w:szCs w:val="22"/>
              </w:rPr>
              <w:t>2</w:t>
            </w:r>
          </w:p>
        </w:tc>
        <w:tc>
          <w:tcPr>
            <w:tcW w:w="855" w:type="dxa"/>
            <w:vAlign w:val="center"/>
          </w:tcPr>
          <w:p w14:paraId="50042B30" w14:textId="77777777" w:rsidR="00460572" w:rsidRPr="00B919D2" w:rsidRDefault="00460572" w:rsidP="00460572">
            <w:pPr>
              <w:jc w:val="center"/>
              <w:rPr>
                <w:b/>
                <w:sz w:val="22"/>
                <w:szCs w:val="22"/>
              </w:rPr>
            </w:pPr>
          </w:p>
        </w:tc>
      </w:tr>
      <w:tr w:rsidR="00460572" w:rsidRPr="00991BC7" w14:paraId="3E083B54" w14:textId="77777777" w:rsidTr="00460572">
        <w:tblPrEx>
          <w:tblLook w:val="01E0" w:firstRow="1" w:lastRow="1" w:firstColumn="1" w:lastColumn="1" w:noHBand="0" w:noVBand="0"/>
        </w:tblPrEx>
        <w:trPr>
          <w:trHeight w:val="322"/>
        </w:trPr>
        <w:tc>
          <w:tcPr>
            <w:tcW w:w="562" w:type="dxa"/>
            <w:vAlign w:val="center"/>
          </w:tcPr>
          <w:p w14:paraId="7F898A8B" w14:textId="77777777" w:rsidR="00460572" w:rsidRPr="00460572" w:rsidRDefault="00460572" w:rsidP="00460572">
            <w:pPr>
              <w:pStyle w:val="Sarakstarindkopa"/>
              <w:numPr>
                <w:ilvl w:val="0"/>
                <w:numId w:val="10"/>
              </w:numPr>
              <w:jc w:val="center"/>
              <w:rPr>
                <w:bCs/>
                <w:sz w:val="20"/>
                <w:szCs w:val="20"/>
              </w:rPr>
            </w:pPr>
          </w:p>
        </w:tc>
        <w:tc>
          <w:tcPr>
            <w:tcW w:w="7667" w:type="dxa"/>
            <w:gridSpan w:val="6"/>
          </w:tcPr>
          <w:p w14:paraId="5A94FD84" w14:textId="0C68F99C" w:rsidR="00460572" w:rsidRPr="005B7C69" w:rsidRDefault="00460572" w:rsidP="00460572">
            <w:pPr>
              <w:jc w:val="both"/>
              <w:rPr>
                <w:kern w:val="16"/>
                <w:sz w:val="22"/>
                <w:szCs w:val="22"/>
              </w:rPr>
            </w:pPr>
            <w:r>
              <w:rPr>
                <w:kern w:val="16"/>
                <w:sz w:val="22"/>
                <w:szCs w:val="22"/>
              </w:rPr>
              <w:t>Eksāmens.</w:t>
            </w:r>
          </w:p>
        </w:tc>
        <w:tc>
          <w:tcPr>
            <w:tcW w:w="840" w:type="dxa"/>
            <w:vAlign w:val="center"/>
          </w:tcPr>
          <w:p w14:paraId="20CE9715" w14:textId="1407B730" w:rsidR="00460572" w:rsidRPr="00B919D2" w:rsidRDefault="00460572" w:rsidP="00460572">
            <w:pPr>
              <w:jc w:val="center"/>
              <w:rPr>
                <w:b/>
                <w:sz w:val="22"/>
                <w:szCs w:val="22"/>
              </w:rPr>
            </w:pPr>
            <w:r w:rsidRPr="00E04C05">
              <w:rPr>
                <w:sz w:val="22"/>
                <w:szCs w:val="22"/>
              </w:rPr>
              <w:t>4</w:t>
            </w:r>
          </w:p>
        </w:tc>
        <w:tc>
          <w:tcPr>
            <w:tcW w:w="855" w:type="dxa"/>
            <w:vAlign w:val="center"/>
          </w:tcPr>
          <w:p w14:paraId="3086CA36" w14:textId="77777777" w:rsidR="00460572" w:rsidRPr="00B919D2" w:rsidRDefault="00460572" w:rsidP="00460572">
            <w:pPr>
              <w:jc w:val="center"/>
              <w:rPr>
                <w:b/>
                <w:sz w:val="22"/>
                <w:szCs w:val="22"/>
              </w:rPr>
            </w:pPr>
          </w:p>
        </w:tc>
      </w:tr>
      <w:tr w:rsidR="00460572" w:rsidRPr="00991BC7" w14:paraId="737C65ED" w14:textId="77777777" w:rsidTr="00460572">
        <w:tblPrEx>
          <w:tblLook w:val="01E0" w:firstRow="1" w:lastRow="1" w:firstColumn="1" w:lastColumn="1" w:noHBand="0" w:noVBand="0"/>
        </w:tblPrEx>
        <w:trPr>
          <w:trHeight w:val="322"/>
        </w:trPr>
        <w:tc>
          <w:tcPr>
            <w:tcW w:w="562" w:type="dxa"/>
            <w:vAlign w:val="center"/>
          </w:tcPr>
          <w:p w14:paraId="064EEB40" w14:textId="77777777" w:rsidR="00460572" w:rsidRPr="00460572" w:rsidRDefault="00460572" w:rsidP="00460572">
            <w:pPr>
              <w:pStyle w:val="Sarakstarindkopa"/>
              <w:ind w:left="360"/>
              <w:rPr>
                <w:bCs/>
                <w:sz w:val="20"/>
                <w:szCs w:val="20"/>
              </w:rPr>
            </w:pPr>
          </w:p>
        </w:tc>
        <w:tc>
          <w:tcPr>
            <w:tcW w:w="7667" w:type="dxa"/>
            <w:gridSpan w:val="6"/>
          </w:tcPr>
          <w:p w14:paraId="1CA3A17C" w14:textId="1B3904EC" w:rsidR="00460572" w:rsidRPr="00460572" w:rsidRDefault="00460572" w:rsidP="00460572">
            <w:pPr>
              <w:jc w:val="right"/>
              <w:rPr>
                <w:b/>
                <w:bCs/>
                <w:kern w:val="16"/>
                <w:sz w:val="22"/>
                <w:szCs w:val="22"/>
              </w:rPr>
            </w:pPr>
            <w:r w:rsidRPr="00460572">
              <w:rPr>
                <w:b/>
                <w:bCs/>
                <w:kern w:val="16"/>
                <w:sz w:val="22"/>
                <w:szCs w:val="22"/>
              </w:rPr>
              <w:t>Kopā:</w:t>
            </w:r>
          </w:p>
        </w:tc>
        <w:tc>
          <w:tcPr>
            <w:tcW w:w="840" w:type="dxa"/>
            <w:vAlign w:val="center"/>
          </w:tcPr>
          <w:p w14:paraId="4C76E478" w14:textId="070B6E87" w:rsidR="00460572" w:rsidRPr="00B919D2" w:rsidRDefault="00460572" w:rsidP="00460572">
            <w:pPr>
              <w:jc w:val="center"/>
              <w:rPr>
                <w:b/>
                <w:sz w:val="22"/>
                <w:szCs w:val="22"/>
              </w:rPr>
            </w:pPr>
            <w:r>
              <w:rPr>
                <w:b/>
                <w:sz w:val="22"/>
                <w:szCs w:val="22"/>
              </w:rPr>
              <w:t>32</w:t>
            </w:r>
          </w:p>
        </w:tc>
        <w:tc>
          <w:tcPr>
            <w:tcW w:w="855" w:type="dxa"/>
            <w:vAlign w:val="center"/>
          </w:tcPr>
          <w:p w14:paraId="0827A1F2" w14:textId="77777777" w:rsidR="00460572" w:rsidRPr="00B919D2" w:rsidRDefault="00460572" w:rsidP="00460572">
            <w:pPr>
              <w:jc w:val="center"/>
              <w:rPr>
                <w:b/>
                <w:sz w:val="22"/>
                <w:szCs w:val="22"/>
              </w:rPr>
            </w:pPr>
          </w:p>
        </w:tc>
      </w:tr>
      <w:tr w:rsidR="00460572" w:rsidRPr="00991BC7" w14:paraId="4D1F0F45" w14:textId="77777777" w:rsidTr="00460572">
        <w:tblPrEx>
          <w:tblLook w:val="01E0" w:firstRow="1" w:lastRow="1" w:firstColumn="1" w:lastColumn="1" w:noHBand="0" w:noVBand="0"/>
        </w:tblPrEx>
        <w:trPr>
          <w:trHeight w:val="322"/>
        </w:trPr>
        <w:tc>
          <w:tcPr>
            <w:tcW w:w="562" w:type="dxa"/>
            <w:vAlign w:val="center"/>
          </w:tcPr>
          <w:p w14:paraId="67E94D3F" w14:textId="77777777" w:rsidR="00460572" w:rsidRPr="00991BC7" w:rsidRDefault="00460572" w:rsidP="00460572">
            <w:pPr>
              <w:jc w:val="center"/>
              <w:rPr>
                <w:b/>
                <w:szCs w:val="22"/>
              </w:rPr>
            </w:pPr>
            <w:r w:rsidRPr="00991BC7">
              <w:rPr>
                <w:b/>
                <w:szCs w:val="22"/>
              </w:rPr>
              <w:t>Nr.</w:t>
            </w:r>
          </w:p>
          <w:p w14:paraId="7C4556FB" w14:textId="77777777" w:rsidR="00460572" w:rsidRPr="00991BC7" w:rsidRDefault="00460572" w:rsidP="00460572">
            <w:pPr>
              <w:jc w:val="center"/>
              <w:rPr>
                <w:szCs w:val="22"/>
              </w:rPr>
            </w:pPr>
            <w:r w:rsidRPr="00991BC7">
              <w:rPr>
                <w:b/>
                <w:szCs w:val="22"/>
              </w:rPr>
              <w:t>p/k</w:t>
            </w:r>
          </w:p>
        </w:tc>
        <w:tc>
          <w:tcPr>
            <w:tcW w:w="7667" w:type="dxa"/>
            <w:gridSpan w:val="6"/>
            <w:vAlign w:val="center"/>
          </w:tcPr>
          <w:p w14:paraId="0B26C702" w14:textId="77777777" w:rsidR="00460572" w:rsidRPr="00991BC7" w:rsidRDefault="00460572" w:rsidP="00460572">
            <w:pPr>
              <w:rPr>
                <w:b/>
                <w:szCs w:val="22"/>
              </w:rPr>
            </w:pPr>
            <w:r w:rsidRPr="00991BC7">
              <w:rPr>
                <w:b/>
                <w:szCs w:val="22"/>
              </w:rPr>
              <w:t>Patstāvīgais darbs (tēmas). Praktisko darbu izpilde un darbs ar literatūru</w:t>
            </w:r>
          </w:p>
        </w:tc>
        <w:tc>
          <w:tcPr>
            <w:tcW w:w="840" w:type="dxa"/>
            <w:vAlign w:val="center"/>
          </w:tcPr>
          <w:p w14:paraId="69AD59E3" w14:textId="62F8CFB0" w:rsidR="00460572" w:rsidRPr="00B919D2" w:rsidRDefault="00460572" w:rsidP="00460572">
            <w:pPr>
              <w:jc w:val="center"/>
              <w:rPr>
                <w:b/>
                <w:sz w:val="22"/>
                <w:szCs w:val="22"/>
              </w:rPr>
            </w:pPr>
            <w:r>
              <w:rPr>
                <w:b/>
                <w:sz w:val="22"/>
                <w:szCs w:val="22"/>
              </w:rPr>
              <w:t>28</w:t>
            </w:r>
          </w:p>
        </w:tc>
        <w:tc>
          <w:tcPr>
            <w:tcW w:w="855" w:type="dxa"/>
            <w:vAlign w:val="center"/>
          </w:tcPr>
          <w:p w14:paraId="3A5E4237" w14:textId="77777777" w:rsidR="00460572" w:rsidRPr="00B919D2" w:rsidRDefault="00460572" w:rsidP="00460572">
            <w:pPr>
              <w:jc w:val="center"/>
              <w:rPr>
                <w:b/>
                <w:sz w:val="22"/>
                <w:szCs w:val="22"/>
              </w:rPr>
            </w:pPr>
          </w:p>
        </w:tc>
      </w:tr>
      <w:tr w:rsidR="00460572" w:rsidRPr="00991BC7" w14:paraId="56E77A3F" w14:textId="77777777" w:rsidTr="00460572">
        <w:tblPrEx>
          <w:tblLook w:val="01E0" w:firstRow="1" w:lastRow="1" w:firstColumn="1" w:lastColumn="1" w:noHBand="0" w:noVBand="0"/>
        </w:tblPrEx>
        <w:trPr>
          <w:trHeight w:val="322"/>
        </w:trPr>
        <w:tc>
          <w:tcPr>
            <w:tcW w:w="562" w:type="dxa"/>
            <w:vAlign w:val="center"/>
          </w:tcPr>
          <w:p w14:paraId="3B99BB5C" w14:textId="77777777" w:rsidR="00460572" w:rsidRPr="00B919D2" w:rsidRDefault="00460572" w:rsidP="00460572">
            <w:pPr>
              <w:jc w:val="center"/>
              <w:rPr>
                <w:b/>
                <w:sz w:val="22"/>
                <w:szCs w:val="22"/>
              </w:rPr>
            </w:pPr>
          </w:p>
        </w:tc>
        <w:tc>
          <w:tcPr>
            <w:tcW w:w="7667" w:type="dxa"/>
            <w:gridSpan w:val="6"/>
            <w:vAlign w:val="center"/>
          </w:tcPr>
          <w:p w14:paraId="0682B5BA" w14:textId="77777777" w:rsidR="00460572" w:rsidRPr="00B919D2" w:rsidRDefault="00460572" w:rsidP="00460572">
            <w:pPr>
              <w:pStyle w:val="Virsraksts1"/>
              <w:numPr>
                <w:ilvl w:val="0"/>
                <w:numId w:val="11"/>
              </w:numPr>
              <w:spacing w:before="0" w:beforeAutospacing="0" w:after="0" w:afterAutospacing="0"/>
              <w:rPr>
                <w:b w:val="0"/>
                <w:sz w:val="20"/>
                <w:szCs w:val="20"/>
                <w:lang w:val="lv-LV"/>
              </w:rPr>
            </w:pPr>
            <w:r w:rsidRPr="00B919D2">
              <w:rPr>
                <w:b w:val="0"/>
                <w:sz w:val="20"/>
                <w:szCs w:val="20"/>
                <w:lang w:val="lv-LV"/>
              </w:rPr>
              <w:t>Eiropas Sociālā Modeļa struktūra un sociālās politikas īstenošanas mehānisms.</w:t>
            </w:r>
          </w:p>
          <w:p w14:paraId="5F824309" w14:textId="77777777" w:rsidR="00460572" w:rsidRDefault="00460572" w:rsidP="00460572">
            <w:pPr>
              <w:pStyle w:val="Virsraksts1"/>
              <w:numPr>
                <w:ilvl w:val="0"/>
                <w:numId w:val="11"/>
              </w:numPr>
              <w:spacing w:before="0" w:beforeAutospacing="0" w:after="0" w:afterAutospacing="0"/>
              <w:rPr>
                <w:b w:val="0"/>
                <w:sz w:val="20"/>
                <w:szCs w:val="20"/>
                <w:lang w:val="lv-LV"/>
              </w:rPr>
            </w:pPr>
            <w:r w:rsidRPr="00B919D2">
              <w:rPr>
                <w:b w:val="0"/>
                <w:sz w:val="20"/>
                <w:szCs w:val="20"/>
                <w:lang w:val="lv-LV"/>
              </w:rPr>
              <w:t xml:space="preserve">Sociālais dialogs kā ESM </w:t>
            </w:r>
          </w:p>
          <w:p w14:paraId="23529F64" w14:textId="77777777" w:rsidR="00460572" w:rsidRPr="00B919D2" w:rsidRDefault="00460572" w:rsidP="00460572">
            <w:pPr>
              <w:pStyle w:val="Virsraksts1"/>
              <w:numPr>
                <w:ilvl w:val="0"/>
                <w:numId w:val="11"/>
              </w:numPr>
              <w:spacing w:before="0" w:beforeAutospacing="0" w:after="0" w:afterAutospacing="0"/>
              <w:rPr>
                <w:b w:val="0"/>
                <w:sz w:val="20"/>
                <w:szCs w:val="20"/>
                <w:lang w:val="lv-LV"/>
              </w:rPr>
            </w:pPr>
            <w:r w:rsidRPr="00B919D2">
              <w:rPr>
                <w:b w:val="0"/>
                <w:sz w:val="20"/>
                <w:szCs w:val="20"/>
                <w:lang w:val="lv-LV"/>
              </w:rPr>
              <w:t>funkcionēšanas “motors”.</w:t>
            </w:r>
          </w:p>
          <w:p w14:paraId="08C0BE9A" w14:textId="33B9811E" w:rsidR="00460572" w:rsidRPr="00460572" w:rsidRDefault="00460572" w:rsidP="00460572">
            <w:pPr>
              <w:pStyle w:val="Sarakstarindkopa"/>
              <w:numPr>
                <w:ilvl w:val="0"/>
                <w:numId w:val="11"/>
              </w:numPr>
              <w:rPr>
                <w:b/>
                <w:sz w:val="22"/>
                <w:szCs w:val="22"/>
              </w:rPr>
            </w:pPr>
            <w:proofErr w:type="spellStart"/>
            <w:r w:rsidRPr="00460572">
              <w:rPr>
                <w:sz w:val="20"/>
                <w:szCs w:val="20"/>
              </w:rPr>
              <w:t>Karitatīvā</w:t>
            </w:r>
            <w:proofErr w:type="spellEnd"/>
            <w:r w:rsidRPr="00460572">
              <w:rPr>
                <w:sz w:val="20"/>
                <w:szCs w:val="20"/>
              </w:rPr>
              <w:t xml:space="preserve"> kohēzija un krīzes vadības situācijā.</w:t>
            </w:r>
          </w:p>
        </w:tc>
        <w:tc>
          <w:tcPr>
            <w:tcW w:w="840" w:type="dxa"/>
            <w:vAlign w:val="center"/>
          </w:tcPr>
          <w:p w14:paraId="655CC999" w14:textId="77777777" w:rsidR="00460572" w:rsidRPr="00B919D2" w:rsidRDefault="00460572" w:rsidP="00460572">
            <w:pPr>
              <w:jc w:val="center"/>
              <w:rPr>
                <w:b/>
                <w:sz w:val="22"/>
                <w:szCs w:val="22"/>
              </w:rPr>
            </w:pPr>
          </w:p>
        </w:tc>
        <w:tc>
          <w:tcPr>
            <w:tcW w:w="855" w:type="dxa"/>
            <w:vAlign w:val="center"/>
          </w:tcPr>
          <w:p w14:paraId="33AEE081" w14:textId="77777777" w:rsidR="00460572" w:rsidRPr="00B919D2" w:rsidRDefault="00460572" w:rsidP="00460572">
            <w:pPr>
              <w:jc w:val="center"/>
              <w:rPr>
                <w:b/>
                <w:sz w:val="22"/>
                <w:szCs w:val="22"/>
              </w:rPr>
            </w:pPr>
          </w:p>
        </w:tc>
      </w:tr>
      <w:tr w:rsidR="00460572" w:rsidRPr="00991BC7" w14:paraId="6933900C" w14:textId="77777777" w:rsidTr="00460572">
        <w:tblPrEx>
          <w:tblLook w:val="01E0" w:firstRow="1" w:lastRow="1" w:firstColumn="1" w:lastColumn="1" w:noHBand="0" w:noVBand="0"/>
        </w:tblPrEx>
        <w:trPr>
          <w:trHeight w:val="224"/>
        </w:trPr>
        <w:tc>
          <w:tcPr>
            <w:tcW w:w="9924" w:type="dxa"/>
            <w:gridSpan w:val="9"/>
          </w:tcPr>
          <w:p w14:paraId="0949A45F" w14:textId="77777777" w:rsidR="00460572" w:rsidRPr="00B919D2" w:rsidRDefault="00460572" w:rsidP="00460572">
            <w:pPr>
              <w:ind w:firstLine="172"/>
              <w:jc w:val="center"/>
              <w:rPr>
                <w:b/>
                <w:sz w:val="22"/>
                <w:szCs w:val="22"/>
              </w:rPr>
            </w:pPr>
            <w:r w:rsidRPr="00B919D2">
              <w:rPr>
                <w:b/>
                <w:sz w:val="22"/>
                <w:szCs w:val="22"/>
              </w:rPr>
              <w:t>LITERATŪRA</w:t>
            </w:r>
          </w:p>
        </w:tc>
      </w:tr>
      <w:tr w:rsidR="00460572" w:rsidRPr="00991BC7" w14:paraId="2BEFA66E" w14:textId="77777777" w:rsidTr="00460572">
        <w:tblPrEx>
          <w:tblLook w:val="01E0" w:firstRow="1" w:lastRow="1" w:firstColumn="1" w:lastColumn="1" w:noHBand="0" w:noVBand="0"/>
        </w:tblPrEx>
        <w:trPr>
          <w:trHeight w:val="224"/>
        </w:trPr>
        <w:tc>
          <w:tcPr>
            <w:tcW w:w="9924" w:type="dxa"/>
            <w:gridSpan w:val="9"/>
          </w:tcPr>
          <w:p w14:paraId="7A2A1DC2"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Altwicker-Hamori</w:t>
            </w:r>
            <w:proofErr w:type="spellEnd"/>
            <w:r w:rsidRPr="005B7C69">
              <w:rPr>
                <w:spacing w:val="-4"/>
                <w:kern w:val="16"/>
                <w:sz w:val="20"/>
                <w:szCs w:val="22"/>
                <w:lang w:val="en-US" w:bidi="en-US"/>
              </w:rPr>
              <w:t xml:space="preserve">, S. and Kollo, J. (2013), ‘Hungary: public sector </w:t>
            </w:r>
            <w:proofErr w:type="spellStart"/>
            <w:r w:rsidRPr="005B7C69">
              <w:rPr>
                <w:spacing w:val="-4"/>
                <w:kern w:val="16"/>
                <w:sz w:val="20"/>
                <w:szCs w:val="22"/>
                <w:lang w:val="en-US" w:bidi="en-US"/>
              </w:rPr>
              <w:t>labour</w:t>
            </w:r>
            <w:proofErr w:type="spellEnd"/>
            <w:r w:rsidRPr="005B7C69">
              <w:rPr>
                <w:spacing w:val="-4"/>
                <w:kern w:val="16"/>
                <w:sz w:val="20"/>
                <w:szCs w:val="22"/>
                <w:lang w:val="en-US" w:bidi="en-US"/>
              </w:rPr>
              <w:t xml:space="preserve"> market from crisis to crisis’, in D. Vaughan-Whitehead (ed.), </w:t>
            </w:r>
            <w:r w:rsidRPr="005B7C69">
              <w:rPr>
                <w:i/>
                <w:iCs/>
                <w:spacing w:val="-4"/>
                <w:kern w:val="16"/>
                <w:sz w:val="20"/>
                <w:szCs w:val="22"/>
                <w:lang w:val="en-US" w:bidi="en-US"/>
              </w:rPr>
              <w:t>Public Sector Shock: The Impact of Policy Retrenchment in Europe</w:t>
            </w:r>
            <w:r w:rsidRPr="005B7C69">
              <w:rPr>
                <w:spacing w:val="-4"/>
                <w:kern w:val="16"/>
                <w:sz w:val="20"/>
                <w:szCs w:val="22"/>
                <w:lang w:val="en-US" w:bidi="en-US"/>
              </w:rPr>
              <w:t xml:space="preserve">, Cheltenham, UK and Northampton, MA, USA: Edward Elgar and Geneva: International </w:t>
            </w:r>
            <w:proofErr w:type="spellStart"/>
            <w:r w:rsidRPr="005B7C69">
              <w:rPr>
                <w:spacing w:val="-4"/>
                <w:kern w:val="16"/>
                <w:sz w:val="20"/>
                <w:szCs w:val="22"/>
                <w:lang w:val="en-US" w:bidi="en-US"/>
              </w:rPr>
              <w:t>Labour</w:t>
            </w:r>
            <w:proofErr w:type="spellEnd"/>
            <w:r w:rsidRPr="005B7C69">
              <w:rPr>
                <w:spacing w:val="-4"/>
                <w:kern w:val="16"/>
                <w:sz w:val="20"/>
                <w:szCs w:val="22"/>
                <w:lang w:val="en-US" w:bidi="en-US"/>
              </w:rPr>
              <w:t xml:space="preserve"> </w:t>
            </w:r>
            <w:proofErr w:type="spellStart"/>
            <w:r w:rsidRPr="005B7C69">
              <w:rPr>
                <w:spacing w:val="-4"/>
                <w:kern w:val="16"/>
                <w:sz w:val="20"/>
                <w:szCs w:val="22"/>
                <w:lang w:val="en-US" w:bidi="en-US"/>
              </w:rPr>
              <w:t>Organisation</w:t>
            </w:r>
            <w:proofErr w:type="spellEnd"/>
            <w:r w:rsidRPr="005B7C69">
              <w:rPr>
                <w:spacing w:val="-4"/>
                <w:kern w:val="16"/>
                <w:sz w:val="20"/>
                <w:szCs w:val="22"/>
                <w:lang w:val="en-US" w:bidi="en-US"/>
              </w:rPr>
              <w:t>, pp. 259-99.</w:t>
            </w:r>
          </w:p>
          <w:p w14:paraId="3CC48FEA"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Atkinson, A. and Brandolini, A. (2011), ‘On the identification of the middle</w:t>
            </w:r>
            <w:r w:rsidRPr="005B7C69">
              <w:rPr>
                <w:spacing w:val="-4"/>
                <w:kern w:val="16"/>
                <w:sz w:val="20"/>
                <w:szCs w:val="22"/>
                <w:lang w:val="en-US" w:bidi="en-US"/>
              </w:rPr>
              <w:softHyphen/>
              <w:t>class’, ECINEQ Working Paper 2011-217, ECINEQ Society for the Study of Economic Inequality.</w:t>
            </w:r>
          </w:p>
          <w:p w14:paraId="5BD1E856"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 xml:space="preserve">Barou, Y. and the circle of European HRDs (2013), </w:t>
            </w:r>
            <w:r w:rsidRPr="005B7C69">
              <w:rPr>
                <w:i/>
                <w:iCs/>
                <w:spacing w:val="-4"/>
                <w:kern w:val="16"/>
                <w:sz w:val="20"/>
                <w:szCs w:val="22"/>
                <w:lang w:val="en-US" w:bidi="en-US"/>
              </w:rPr>
              <w:t>The European Social Model</w:t>
            </w:r>
            <w:r w:rsidRPr="005B7C69">
              <w:rPr>
                <w:spacing w:val="-4"/>
                <w:kern w:val="16"/>
                <w:sz w:val="20"/>
                <w:szCs w:val="22"/>
                <w:lang w:val="en-US" w:bidi="en-US"/>
              </w:rPr>
              <w:t xml:space="preserve">, Paris: Editions des </w:t>
            </w:r>
            <w:proofErr w:type="spellStart"/>
            <w:r w:rsidRPr="005B7C69">
              <w:rPr>
                <w:spacing w:val="-4"/>
                <w:kern w:val="16"/>
                <w:sz w:val="20"/>
                <w:szCs w:val="22"/>
                <w:lang w:val="en-US" w:bidi="en-US"/>
              </w:rPr>
              <w:t>ilots</w:t>
            </w:r>
            <w:proofErr w:type="spellEnd"/>
            <w:r w:rsidRPr="005B7C69">
              <w:rPr>
                <w:spacing w:val="-4"/>
                <w:kern w:val="16"/>
                <w:sz w:val="20"/>
                <w:szCs w:val="22"/>
                <w:lang w:val="en-US" w:bidi="en-US"/>
              </w:rPr>
              <w:t xml:space="preserve"> de resistance.</w:t>
            </w:r>
          </w:p>
          <w:p w14:paraId="1ECB0D67"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Bontout</w:t>
            </w:r>
            <w:proofErr w:type="spellEnd"/>
            <w:r w:rsidRPr="005B7C69">
              <w:rPr>
                <w:spacing w:val="-4"/>
                <w:kern w:val="16"/>
                <w:sz w:val="20"/>
                <w:szCs w:val="22"/>
                <w:lang w:val="en-US" w:bidi="en-US"/>
              </w:rPr>
              <w:t xml:space="preserve">, O. and </w:t>
            </w:r>
            <w:proofErr w:type="spellStart"/>
            <w:r w:rsidRPr="005B7C69">
              <w:rPr>
                <w:spacing w:val="-4"/>
                <w:kern w:val="16"/>
                <w:sz w:val="20"/>
                <w:szCs w:val="22"/>
                <w:lang w:val="en-US" w:bidi="en-US"/>
              </w:rPr>
              <w:t>Lokajickova</w:t>
            </w:r>
            <w:proofErr w:type="spellEnd"/>
            <w:r w:rsidRPr="005B7C69">
              <w:rPr>
                <w:spacing w:val="-4"/>
                <w:kern w:val="16"/>
                <w:sz w:val="20"/>
                <w:szCs w:val="22"/>
                <w:lang w:val="en-US" w:bidi="en-US"/>
              </w:rPr>
              <w:t xml:space="preserve">, Z. (2013), ‘Social protection budgets in the crisis in the EU’, Working Paper </w:t>
            </w:r>
            <w:r w:rsidRPr="005B7C69">
              <w:rPr>
                <w:spacing w:val="-4"/>
                <w:kern w:val="16"/>
                <w:sz w:val="20"/>
                <w:szCs w:val="22"/>
                <w:lang w:val="en-US" w:eastAsia="ru-RU" w:bidi="ru-RU"/>
              </w:rPr>
              <w:t xml:space="preserve">1/2013, </w:t>
            </w:r>
            <w:r w:rsidRPr="005B7C69">
              <w:rPr>
                <w:spacing w:val="-4"/>
                <w:kern w:val="16"/>
                <w:sz w:val="20"/>
                <w:szCs w:val="22"/>
                <w:lang w:val="en-US" w:bidi="en-US"/>
              </w:rPr>
              <w:t>European Commission, Luxembourg: Publications Office of the European Union.</w:t>
            </w:r>
          </w:p>
          <w:p w14:paraId="6ECDD9F1"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Broughton, A. and Welz, C. (2013), ‘The impact of the crisis on industrial relations in EU Member States’, European Foundation for the Improvement of Living and Working Conditions (</w:t>
            </w:r>
            <w:proofErr w:type="spellStart"/>
            <w:r w:rsidRPr="005B7C69">
              <w:rPr>
                <w:spacing w:val="-4"/>
                <w:kern w:val="16"/>
                <w:sz w:val="20"/>
                <w:szCs w:val="22"/>
                <w:lang w:val="en-US" w:bidi="en-US"/>
              </w:rPr>
              <w:t>Eurofound</w:t>
            </w:r>
            <w:proofErr w:type="spellEnd"/>
            <w:r w:rsidRPr="005B7C69">
              <w:rPr>
                <w:spacing w:val="-4"/>
                <w:kern w:val="16"/>
                <w:sz w:val="20"/>
                <w:szCs w:val="22"/>
                <w:lang w:val="en-US" w:bidi="en-US"/>
              </w:rPr>
              <w:t>), Dublin.</w:t>
            </w:r>
          </w:p>
          <w:p w14:paraId="6A2EF539"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 xml:space="preserve">Busch, K., Hermann, C., Hinrichs, K. and Schulten, T. (2013), </w:t>
            </w:r>
            <w:r w:rsidRPr="005B7C69">
              <w:rPr>
                <w:i/>
                <w:iCs/>
                <w:spacing w:val="-4"/>
                <w:kern w:val="16"/>
                <w:sz w:val="20"/>
                <w:szCs w:val="22"/>
                <w:lang w:val="en-US" w:bidi="en-US"/>
              </w:rPr>
              <w:t xml:space="preserve">Euro Crisis, Austerity Policy and the European Social Model - How Crisis Policies in Southern Europe Threaten the EU’s Social Dimension. </w:t>
            </w:r>
            <w:r w:rsidRPr="005B7C69">
              <w:rPr>
                <w:spacing w:val="-4"/>
                <w:kern w:val="16"/>
                <w:sz w:val="20"/>
                <w:szCs w:val="22"/>
                <w:lang w:val="en-US" w:bidi="en-US"/>
              </w:rPr>
              <w:t>International Policy Analysis, February, Berlin: Friedrich Ebert Stiftung.</w:t>
            </w:r>
          </w:p>
          <w:p w14:paraId="26828385"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Ciutacu</w:t>
            </w:r>
            <w:proofErr w:type="spellEnd"/>
            <w:r w:rsidRPr="005B7C69">
              <w:rPr>
                <w:spacing w:val="-4"/>
                <w:kern w:val="16"/>
                <w:sz w:val="20"/>
                <w:szCs w:val="22"/>
                <w:lang w:val="en-US" w:bidi="en-US"/>
              </w:rPr>
              <w:t xml:space="preserve">, C. (2010), ‘Government’s shock tactics for recession’, </w:t>
            </w:r>
            <w:proofErr w:type="spellStart"/>
            <w:r w:rsidRPr="005B7C69">
              <w:rPr>
                <w:i/>
                <w:iCs/>
                <w:spacing w:val="-4"/>
                <w:kern w:val="16"/>
                <w:sz w:val="20"/>
                <w:szCs w:val="22"/>
                <w:lang w:val="en-US" w:bidi="en-US"/>
              </w:rPr>
              <w:t>EIROnline</w:t>
            </w:r>
            <w:proofErr w:type="spellEnd"/>
            <w:r w:rsidRPr="005B7C69">
              <w:rPr>
                <w:spacing w:val="-4"/>
                <w:kern w:val="16"/>
                <w:sz w:val="20"/>
                <w:szCs w:val="22"/>
                <w:lang w:val="en-US" w:bidi="en-US"/>
              </w:rPr>
              <w:t>, avail</w:t>
            </w:r>
            <w:r w:rsidRPr="005B7C69">
              <w:rPr>
                <w:spacing w:val="-4"/>
                <w:kern w:val="16"/>
                <w:sz w:val="20"/>
                <w:szCs w:val="22"/>
                <w:lang w:val="en-US" w:bidi="en-US"/>
              </w:rPr>
              <w:softHyphen/>
              <w:t xml:space="preserve">able at: </w:t>
            </w:r>
            <w:hyperlink r:id="rId5" w:history="1">
              <w:r w:rsidRPr="005B7C69">
                <w:rPr>
                  <w:spacing w:val="-4"/>
                  <w:kern w:val="16"/>
                  <w:sz w:val="20"/>
                  <w:szCs w:val="22"/>
                  <w:lang w:val="en-US" w:bidi="en-US"/>
                </w:rPr>
                <w:t>http://www.eurofound.europa.eu/eiro/2010/08/articles/ro1008019i.htm</w:t>
              </w:r>
            </w:hyperlink>
            <w:r w:rsidRPr="005B7C69">
              <w:rPr>
                <w:spacing w:val="-4"/>
                <w:kern w:val="16"/>
                <w:sz w:val="20"/>
                <w:szCs w:val="22"/>
                <w:lang w:val="en-US" w:bidi="en-US"/>
              </w:rPr>
              <w:t xml:space="preserve"> (accessed 24 October 2014).</w:t>
            </w:r>
          </w:p>
          <w:p w14:paraId="77FC49CC"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Clauwaert</w:t>
            </w:r>
            <w:proofErr w:type="spellEnd"/>
            <w:r w:rsidRPr="005B7C69">
              <w:rPr>
                <w:spacing w:val="-4"/>
                <w:kern w:val="16"/>
                <w:sz w:val="20"/>
                <w:szCs w:val="22"/>
                <w:lang w:val="en-US" w:bidi="en-US"/>
              </w:rPr>
              <w:t xml:space="preserve">, S. and </w:t>
            </w:r>
            <w:proofErr w:type="spellStart"/>
            <w:r w:rsidRPr="005B7C69">
              <w:rPr>
                <w:spacing w:val="-4"/>
                <w:kern w:val="16"/>
                <w:sz w:val="20"/>
                <w:szCs w:val="22"/>
                <w:lang w:val="en-US" w:bidi="en-US"/>
              </w:rPr>
              <w:t>Schomann</w:t>
            </w:r>
            <w:proofErr w:type="spellEnd"/>
            <w:r w:rsidRPr="005B7C69">
              <w:rPr>
                <w:spacing w:val="-4"/>
                <w:kern w:val="16"/>
                <w:sz w:val="20"/>
                <w:szCs w:val="22"/>
                <w:lang w:val="en-US" w:bidi="en-US"/>
              </w:rPr>
              <w:t xml:space="preserve">, I. (2012), </w:t>
            </w:r>
            <w:r w:rsidRPr="005B7C69">
              <w:rPr>
                <w:i/>
                <w:iCs/>
                <w:spacing w:val="-4"/>
                <w:kern w:val="16"/>
                <w:sz w:val="20"/>
                <w:szCs w:val="22"/>
                <w:lang w:val="en-US" w:bidi="en-US"/>
              </w:rPr>
              <w:t xml:space="preserve">The Crisis and National </w:t>
            </w:r>
            <w:proofErr w:type="spellStart"/>
            <w:r w:rsidRPr="005B7C69">
              <w:rPr>
                <w:i/>
                <w:iCs/>
                <w:spacing w:val="-4"/>
                <w:kern w:val="16"/>
                <w:sz w:val="20"/>
                <w:szCs w:val="22"/>
                <w:lang w:val="en-US" w:bidi="en-US"/>
              </w:rPr>
              <w:t>Labour</w:t>
            </w:r>
            <w:proofErr w:type="spellEnd"/>
            <w:r w:rsidRPr="005B7C69">
              <w:rPr>
                <w:i/>
                <w:iCs/>
                <w:spacing w:val="-4"/>
                <w:kern w:val="16"/>
                <w:sz w:val="20"/>
                <w:szCs w:val="22"/>
                <w:lang w:val="en-US" w:bidi="en-US"/>
              </w:rPr>
              <w:t xml:space="preserve"> Law Reforms: A Mapping Exercise</w:t>
            </w:r>
            <w:r w:rsidRPr="005B7C69">
              <w:rPr>
                <w:spacing w:val="-4"/>
                <w:kern w:val="16"/>
                <w:sz w:val="20"/>
                <w:szCs w:val="22"/>
                <w:lang w:val="en-US" w:bidi="en-US"/>
              </w:rPr>
              <w:t xml:space="preserve">, Brussels: ETUI (national reports updated in 2013), available at: </w:t>
            </w:r>
            <w:hyperlink r:id="rId6" w:history="1">
              <w:r w:rsidRPr="005B7C69">
                <w:rPr>
                  <w:rStyle w:val="Hipersaite"/>
                  <w:color w:val="auto"/>
                  <w:spacing w:val="-4"/>
                  <w:kern w:val="16"/>
                  <w:sz w:val="20"/>
                  <w:szCs w:val="22"/>
                  <w:lang w:val="en-US" w:bidi="en-US"/>
                </w:rPr>
                <w:t>http://www.etui.org/Publications2/Working-Papers/The-crisis-and-national-labour-law-reforms-a-mapping-exercise</w:t>
              </w:r>
            </w:hyperlink>
            <w:r w:rsidRPr="005B7C69">
              <w:rPr>
                <w:spacing w:val="-4"/>
                <w:kern w:val="16"/>
                <w:sz w:val="20"/>
                <w:szCs w:val="22"/>
                <w:lang w:val="en-US" w:bidi="en-US"/>
              </w:rPr>
              <w:t xml:space="preserve"> </w:t>
            </w:r>
          </w:p>
          <w:p w14:paraId="24A81810"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 xml:space="preserve">European Commission (EC) (2000b), </w:t>
            </w:r>
            <w:r w:rsidRPr="005B7C69">
              <w:rPr>
                <w:i/>
                <w:iCs/>
                <w:spacing w:val="-4"/>
                <w:kern w:val="16"/>
                <w:sz w:val="20"/>
                <w:szCs w:val="22"/>
                <w:lang w:val="en-US" w:bidi="en-US"/>
              </w:rPr>
              <w:t>Social Trends: Prospects and Challenges, EC Communication</w:t>
            </w:r>
            <w:r w:rsidRPr="005B7C69">
              <w:rPr>
                <w:spacing w:val="-4"/>
                <w:kern w:val="16"/>
                <w:sz w:val="20"/>
                <w:szCs w:val="22"/>
                <w:lang w:val="en-US" w:bidi="en-US"/>
              </w:rPr>
              <w:t>, (</w:t>
            </w:r>
            <w:proofErr w:type="gramStart"/>
            <w:r w:rsidRPr="005B7C69">
              <w:rPr>
                <w:spacing w:val="-4"/>
                <w:kern w:val="16"/>
                <w:sz w:val="20"/>
                <w:szCs w:val="22"/>
                <w:lang w:val="en-US" w:bidi="en-US"/>
              </w:rPr>
              <w:t>COM(</w:t>
            </w:r>
            <w:proofErr w:type="gramEnd"/>
            <w:r w:rsidRPr="005B7C69">
              <w:rPr>
                <w:spacing w:val="-4"/>
                <w:kern w:val="16"/>
                <w:sz w:val="20"/>
                <w:szCs w:val="22"/>
                <w:lang w:val="en-US" w:bidi="en-US"/>
              </w:rPr>
              <w:t>2000)82 final), Brussels.</w:t>
            </w:r>
          </w:p>
          <w:p w14:paraId="5FAFE884"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European Commission (EC) (2009), </w:t>
            </w:r>
            <w:r w:rsidRPr="005B7C69">
              <w:rPr>
                <w:i/>
                <w:iCs/>
                <w:color w:val="000000"/>
                <w:spacing w:val="-4"/>
                <w:kern w:val="16"/>
                <w:sz w:val="20"/>
                <w:szCs w:val="22"/>
                <w:lang w:val="en-US" w:bidi="en-US"/>
              </w:rPr>
              <w:t>The Lisbon Treaty, The Consolidated Reader</w:t>
            </w:r>
            <w:r w:rsidRPr="005B7C69">
              <w:rPr>
                <w:i/>
                <w:iCs/>
                <w:color w:val="000000"/>
                <w:spacing w:val="-4"/>
                <w:kern w:val="16"/>
                <w:sz w:val="20"/>
                <w:szCs w:val="22"/>
                <w:lang w:val="en-US" w:bidi="en-US"/>
              </w:rPr>
              <w:softHyphen/>
              <w:t xml:space="preserve"> Friendly edition of Treaty on European Union (TEU) and the Treaty of Lisbon (2007)</w:t>
            </w:r>
            <w:r w:rsidRPr="005B7C69">
              <w:rPr>
                <w:color w:val="000000"/>
                <w:spacing w:val="-4"/>
                <w:kern w:val="16"/>
                <w:sz w:val="20"/>
                <w:szCs w:val="22"/>
                <w:lang w:val="en-US" w:bidi="en-US"/>
              </w:rPr>
              <w:t xml:space="preserve">, 3rd </w:t>
            </w:r>
            <w:proofErr w:type="spellStart"/>
            <w:r w:rsidRPr="005B7C69">
              <w:rPr>
                <w:color w:val="000000"/>
                <w:spacing w:val="-4"/>
                <w:kern w:val="16"/>
                <w:sz w:val="20"/>
                <w:szCs w:val="22"/>
                <w:lang w:val="en-US" w:bidi="en-US"/>
              </w:rPr>
              <w:t>edn</w:t>
            </w:r>
            <w:proofErr w:type="spellEnd"/>
            <w:r w:rsidRPr="005B7C69">
              <w:rPr>
                <w:color w:val="000000"/>
                <w:spacing w:val="-4"/>
                <w:kern w:val="16"/>
                <w:sz w:val="20"/>
                <w:szCs w:val="22"/>
                <w:lang w:val="en-US" w:bidi="en-US"/>
              </w:rPr>
              <w:t xml:space="preserve">, Foundation for EU Democracy, </w:t>
            </w:r>
            <w:proofErr w:type="spellStart"/>
            <w:r w:rsidRPr="005B7C69">
              <w:rPr>
                <w:color w:val="000000"/>
                <w:spacing w:val="-4"/>
                <w:kern w:val="16"/>
                <w:sz w:val="20"/>
                <w:szCs w:val="22"/>
                <w:lang w:val="en-US" w:bidi="en-US"/>
              </w:rPr>
              <w:t>Allingabro</w:t>
            </w:r>
            <w:proofErr w:type="spellEnd"/>
            <w:r w:rsidRPr="005B7C69">
              <w:rPr>
                <w:color w:val="000000"/>
                <w:spacing w:val="-4"/>
                <w:kern w:val="16"/>
                <w:sz w:val="20"/>
                <w:szCs w:val="22"/>
                <w:lang w:val="en-US" w:bidi="en-US"/>
              </w:rPr>
              <w:t xml:space="preserve">, Denmark: </w:t>
            </w:r>
            <w:proofErr w:type="spellStart"/>
            <w:r w:rsidRPr="005B7C69">
              <w:rPr>
                <w:color w:val="000000"/>
                <w:spacing w:val="-4"/>
                <w:kern w:val="16"/>
                <w:sz w:val="20"/>
                <w:szCs w:val="22"/>
                <w:lang w:val="en-US" w:bidi="en-US"/>
              </w:rPr>
              <w:t>NotatGrafisk</w:t>
            </w:r>
            <w:proofErr w:type="spellEnd"/>
            <w:r w:rsidRPr="005B7C69">
              <w:rPr>
                <w:color w:val="000000"/>
                <w:spacing w:val="-4"/>
                <w:kern w:val="16"/>
                <w:sz w:val="20"/>
                <w:szCs w:val="22"/>
                <w:lang w:val="en-US" w:bidi="en-US"/>
              </w:rPr>
              <w:t xml:space="preserve">, available at: </w:t>
            </w:r>
            <w:hyperlink r:id="rId7" w:history="1">
              <w:r w:rsidRPr="005B7C69">
                <w:rPr>
                  <w:rStyle w:val="Hipersaite"/>
                  <w:spacing w:val="-4"/>
                  <w:kern w:val="16"/>
                  <w:sz w:val="20"/>
                  <w:szCs w:val="22"/>
                  <w:lang w:val="en-US" w:bidi="en-US"/>
                </w:rPr>
                <w:t>http://en.euabc.com/upload/books/lisbon-treaty-3edition.pdf</w:t>
              </w:r>
            </w:hyperlink>
            <w:r w:rsidRPr="005B7C69">
              <w:rPr>
                <w:color w:val="000000"/>
                <w:spacing w:val="-4"/>
                <w:kern w:val="16"/>
                <w:sz w:val="20"/>
                <w:szCs w:val="22"/>
                <w:lang w:val="en-US" w:bidi="en-US"/>
              </w:rPr>
              <w:t xml:space="preserve"> </w:t>
            </w:r>
          </w:p>
          <w:p w14:paraId="7A77ED76"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European Commission (EC) (2011), ‘A quality framework for services of general interest in Europe’, communication from the Commission to the European Parliament, the Council, the European Economic and Social Committee, and the Committee of the Regions, 20 December, COM(2011) 900 final, Brussels: European Commission, available at: </w:t>
            </w:r>
            <w:r w:rsidRPr="005B7C69">
              <w:rPr>
                <w:sz w:val="16"/>
              </w:rPr>
              <w:t xml:space="preserve"> </w:t>
            </w:r>
            <w:hyperlink r:id="rId8" w:history="1">
              <w:r w:rsidRPr="005B7C69">
                <w:rPr>
                  <w:rStyle w:val="Hipersaite"/>
                  <w:spacing w:val="-4"/>
                  <w:kern w:val="16"/>
                  <w:sz w:val="20"/>
                  <w:szCs w:val="22"/>
                  <w:lang w:val="en-US" w:bidi="en-US"/>
                </w:rPr>
                <w:t>https://www.europarl.europa.eu/meetdocs/2009_2014/documents/com/com_com(2011)0900_/com_com(2011)0900_en.pdf</w:t>
              </w:r>
            </w:hyperlink>
            <w:r w:rsidRPr="005B7C69">
              <w:rPr>
                <w:color w:val="000000"/>
                <w:spacing w:val="-4"/>
                <w:kern w:val="16"/>
                <w:sz w:val="20"/>
                <w:szCs w:val="22"/>
                <w:lang w:val="en-US" w:bidi="en-US"/>
              </w:rPr>
              <w:t xml:space="preserve"> </w:t>
            </w:r>
          </w:p>
          <w:p w14:paraId="65DDBC14"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Commission (EC) (2012a),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market developments in Europe 2012’, </w:t>
            </w:r>
            <w:r w:rsidRPr="005B7C69">
              <w:rPr>
                <w:i/>
                <w:iCs/>
                <w:color w:val="000000"/>
                <w:spacing w:val="-4"/>
                <w:kern w:val="16"/>
                <w:sz w:val="20"/>
                <w:szCs w:val="22"/>
                <w:lang w:val="en-US" w:bidi="en-US"/>
              </w:rPr>
              <w:t>European Economy</w:t>
            </w:r>
            <w:r w:rsidRPr="005B7C69">
              <w:rPr>
                <w:color w:val="000000"/>
                <w:spacing w:val="-4"/>
                <w:kern w:val="16"/>
                <w:sz w:val="20"/>
                <w:szCs w:val="22"/>
                <w:lang w:val="en-US" w:bidi="en-US"/>
              </w:rPr>
              <w:t xml:space="preserve">, No. </w:t>
            </w:r>
            <w:r w:rsidRPr="005B7C69">
              <w:rPr>
                <w:color w:val="000000"/>
                <w:spacing w:val="-4"/>
                <w:kern w:val="16"/>
                <w:sz w:val="20"/>
                <w:szCs w:val="22"/>
                <w:lang w:val="en-US" w:eastAsia="ru-RU" w:bidi="ru-RU"/>
              </w:rPr>
              <w:t xml:space="preserve">5/2012, </w:t>
            </w:r>
            <w:r w:rsidRPr="005B7C69">
              <w:rPr>
                <w:color w:val="000000"/>
                <w:spacing w:val="-4"/>
                <w:kern w:val="16"/>
                <w:sz w:val="20"/>
                <w:szCs w:val="22"/>
                <w:lang w:val="en-US" w:bidi="en-US"/>
              </w:rPr>
              <w:t>Brussels: EC.</w:t>
            </w:r>
          </w:p>
          <w:p w14:paraId="068540FB"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Commission (EC) (2012b), ‘Employment and social developments in Europe 2012’, EC, Brussels.</w:t>
            </w:r>
          </w:p>
          <w:p w14:paraId="411A9E5F"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Commission (EC) (2013a</w:t>
            </w:r>
            <w:proofErr w:type="gramStart"/>
            <w:r w:rsidRPr="005B7C69">
              <w:rPr>
                <w:color w:val="000000"/>
                <w:spacing w:val="-4"/>
                <w:kern w:val="16"/>
                <w:sz w:val="20"/>
                <w:szCs w:val="22"/>
                <w:lang w:val="en-US" w:bidi="en-US"/>
              </w:rPr>
              <w:t>), ‘</w:t>
            </w:r>
            <w:proofErr w:type="gramEnd"/>
            <w:r w:rsidRPr="005B7C69">
              <w:rPr>
                <w:color w:val="000000"/>
                <w:spacing w:val="-4"/>
                <w:kern w:val="16"/>
                <w:sz w:val="20"/>
                <w:szCs w:val="22"/>
                <w:lang w:val="en-US" w:bidi="en-US"/>
              </w:rPr>
              <w:t xml:space="preserve">Strengthening the social dimension of the economic and monetary union’, communication from the Commission to the European Parliament and the Council, 2 October, </w:t>
            </w:r>
            <w:proofErr w:type="gramStart"/>
            <w:r w:rsidRPr="005B7C69">
              <w:rPr>
                <w:color w:val="000000"/>
                <w:spacing w:val="-4"/>
                <w:kern w:val="16"/>
                <w:sz w:val="20"/>
                <w:szCs w:val="22"/>
                <w:lang w:val="en-US" w:bidi="en-US"/>
              </w:rPr>
              <w:t>COM(</w:t>
            </w:r>
            <w:proofErr w:type="gramEnd"/>
            <w:r w:rsidRPr="005B7C69">
              <w:rPr>
                <w:color w:val="000000"/>
                <w:spacing w:val="-4"/>
                <w:kern w:val="16"/>
                <w:sz w:val="20"/>
                <w:szCs w:val="22"/>
                <w:lang w:val="en-US" w:bidi="en-US"/>
              </w:rPr>
              <w:t>2013) 690 provisional, Brussels: European Commission.</w:t>
            </w:r>
          </w:p>
          <w:p w14:paraId="353A7D67"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Commission (EC) (2013b</w:t>
            </w:r>
            <w:proofErr w:type="gramStart"/>
            <w:r w:rsidRPr="005B7C69">
              <w:rPr>
                <w:color w:val="000000"/>
                <w:spacing w:val="-4"/>
                <w:kern w:val="16"/>
                <w:sz w:val="20"/>
                <w:szCs w:val="22"/>
                <w:lang w:val="en-US" w:bidi="en-US"/>
              </w:rPr>
              <w:t>), ‘</w:t>
            </w:r>
            <w:proofErr w:type="gramEnd"/>
            <w:r w:rsidRPr="005B7C69">
              <w:rPr>
                <w:color w:val="000000"/>
                <w:spacing w:val="-4"/>
                <w:kern w:val="16"/>
                <w:sz w:val="20"/>
                <w:szCs w:val="22"/>
                <w:lang w:val="en-US" w:bidi="en-US"/>
              </w:rPr>
              <w:t xml:space="preserve">Towards social investment for growth and cohesion’, communication from the Commission to the European Parliament and the Council, 20 February 2013, </w:t>
            </w:r>
            <w:proofErr w:type="gramStart"/>
            <w:r w:rsidRPr="005B7C69">
              <w:rPr>
                <w:color w:val="000000"/>
                <w:spacing w:val="-4"/>
                <w:kern w:val="16"/>
                <w:sz w:val="20"/>
                <w:szCs w:val="22"/>
                <w:lang w:val="en-US" w:bidi="en-US"/>
              </w:rPr>
              <w:t>COM(</w:t>
            </w:r>
            <w:proofErr w:type="gramEnd"/>
            <w:r w:rsidRPr="005B7C69">
              <w:rPr>
                <w:color w:val="000000"/>
                <w:spacing w:val="-4"/>
                <w:kern w:val="16"/>
                <w:sz w:val="20"/>
                <w:szCs w:val="22"/>
                <w:lang w:val="en-US" w:bidi="en-US"/>
              </w:rPr>
              <w:t>2013) 83 final, Brussels: European Commission.</w:t>
            </w:r>
          </w:p>
          <w:p w14:paraId="1FE9988F"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bidi="en-US"/>
              </w:rPr>
              <w:t>European</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Commission</w:t>
            </w:r>
            <w:proofErr w:type="spellEnd"/>
            <w:r w:rsidRPr="005B7C69">
              <w:rPr>
                <w:color w:val="000000"/>
                <w:spacing w:val="-4"/>
                <w:kern w:val="16"/>
                <w:sz w:val="20"/>
                <w:szCs w:val="22"/>
                <w:lang w:bidi="en-US"/>
              </w:rPr>
              <w:t xml:space="preserve"> (EC) (2022), ‘</w:t>
            </w:r>
            <w:r w:rsidRPr="005B7C69">
              <w:rPr>
                <w:color w:val="000000"/>
                <w:spacing w:val="-4"/>
                <w:kern w:val="16"/>
                <w:sz w:val="20"/>
                <w:szCs w:val="22"/>
                <w:lang w:val="en-US" w:bidi="en-US"/>
              </w:rPr>
              <w:t xml:space="preserve"> Employment and Social</w:t>
            </w:r>
            <w:r w:rsidRPr="005B7C69">
              <w:rPr>
                <w:sz w:val="16"/>
              </w:rPr>
              <w:t xml:space="preserve"> </w:t>
            </w:r>
            <w:r w:rsidRPr="005B7C69">
              <w:rPr>
                <w:color w:val="000000"/>
                <w:spacing w:val="-4"/>
                <w:kern w:val="16"/>
                <w:sz w:val="20"/>
                <w:szCs w:val="22"/>
                <w:lang w:val="en-US" w:bidi="en-US"/>
              </w:rPr>
              <w:t>developments in Europe. Quarterly review. March 2022</w:t>
            </w:r>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Luxembourg</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Publications</w:t>
            </w:r>
            <w:proofErr w:type="spellEnd"/>
            <w:r w:rsidRPr="005B7C69">
              <w:rPr>
                <w:color w:val="000000"/>
                <w:spacing w:val="-4"/>
                <w:kern w:val="16"/>
                <w:sz w:val="20"/>
                <w:szCs w:val="22"/>
                <w:lang w:bidi="en-US"/>
              </w:rPr>
              <w:t xml:space="preserve"> Office </w:t>
            </w:r>
            <w:proofErr w:type="spellStart"/>
            <w:r w:rsidRPr="005B7C69">
              <w:rPr>
                <w:color w:val="000000"/>
                <w:spacing w:val="-4"/>
                <w:kern w:val="16"/>
                <w:sz w:val="20"/>
                <w:szCs w:val="22"/>
                <w:lang w:bidi="en-US"/>
              </w:rPr>
              <w:t>of</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the</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European</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Commission</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available</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at</w:t>
            </w:r>
            <w:proofErr w:type="spellEnd"/>
            <w:r w:rsidRPr="005B7C69">
              <w:rPr>
                <w:color w:val="000000"/>
                <w:spacing w:val="-4"/>
                <w:kern w:val="16"/>
                <w:sz w:val="20"/>
                <w:szCs w:val="22"/>
                <w:lang w:bidi="en-US"/>
              </w:rPr>
              <w:t xml:space="preserve">: </w:t>
            </w:r>
            <w:r w:rsidRPr="005B7C69">
              <w:rPr>
                <w:sz w:val="16"/>
              </w:rPr>
              <w:t xml:space="preserve"> </w:t>
            </w:r>
            <w:hyperlink r:id="rId9" w:history="1">
              <w:r w:rsidRPr="005B7C69">
                <w:rPr>
                  <w:rStyle w:val="Hipersaite"/>
                  <w:spacing w:val="-4"/>
                  <w:kern w:val="16"/>
                  <w:sz w:val="20"/>
                  <w:szCs w:val="22"/>
                  <w:lang w:bidi="en-US"/>
                </w:rPr>
                <w:t>https://ec.europa.eu/social/BlobServlet?docId=25484&amp;langId=en</w:t>
              </w:r>
            </w:hyperlink>
            <w:r w:rsidRPr="005B7C69">
              <w:rPr>
                <w:color w:val="000000"/>
                <w:spacing w:val="-4"/>
                <w:kern w:val="16"/>
                <w:sz w:val="20"/>
                <w:szCs w:val="22"/>
                <w:lang w:bidi="en-US"/>
              </w:rPr>
              <w:t xml:space="preserve"> </w:t>
            </w:r>
          </w:p>
          <w:p w14:paraId="5F8E6C01"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(2011), </w:t>
            </w:r>
            <w:r w:rsidRPr="005B7C69">
              <w:rPr>
                <w:i/>
                <w:iCs/>
                <w:color w:val="000000"/>
                <w:spacing w:val="-4"/>
                <w:kern w:val="16"/>
                <w:sz w:val="20"/>
                <w:szCs w:val="22"/>
                <w:lang w:val="en-US" w:bidi="en-US"/>
              </w:rPr>
              <w:t>Changes Over Time - First Findings from the Fifth European Working Conditions Survey</w:t>
            </w:r>
            <w:r w:rsidRPr="005B7C69">
              <w:rPr>
                <w:color w:val="000000"/>
                <w:spacing w:val="-4"/>
                <w:kern w:val="16"/>
                <w:sz w:val="20"/>
                <w:szCs w:val="22"/>
                <w:lang w:val="en-US" w:bidi="en-US"/>
              </w:rPr>
              <w:t xml:space="preserve">, Dublin: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available at: </w:t>
            </w:r>
            <w:hyperlink r:id="rId10" w:history="1">
              <w:r w:rsidRPr="005B7C69">
                <w:rPr>
                  <w:rStyle w:val="Hipersaite"/>
                  <w:spacing w:val="-4"/>
                  <w:sz w:val="20"/>
                  <w:szCs w:val="22"/>
                </w:rPr>
                <w:t>https://www.eurofound.europa.eu/observatories/eurwork/industrial-relations-dictionary/european-foundation-for-the-improvement-of-living-and-working-conditions-eurofound</w:t>
              </w:r>
            </w:hyperlink>
            <w:r w:rsidRPr="005B7C69">
              <w:rPr>
                <w:spacing w:val="-4"/>
                <w:sz w:val="20"/>
                <w:szCs w:val="22"/>
              </w:rPr>
              <w:t xml:space="preserve">   </w:t>
            </w:r>
          </w:p>
          <w:p w14:paraId="75D25C32"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Living, working and COVID-19 (Update April 2021): Mental health and trust decline across EU as </w:t>
            </w:r>
            <w:r w:rsidRPr="005B7C69">
              <w:rPr>
                <w:sz w:val="20"/>
                <w:szCs w:val="22"/>
                <w:lang w:val="en-US" w:bidi="en-US"/>
              </w:rPr>
              <w:t>pandemic enters another year</w:t>
            </w:r>
            <w:r w:rsidRPr="005B7C69">
              <w:rPr>
                <w:sz w:val="20"/>
                <w:szCs w:val="22"/>
              </w:rPr>
              <w:t xml:space="preserve">. </w:t>
            </w:r>
            <w:proofErr w:type="spellStart"/>
            <w:r w:rsidRPr="005B7C69">
              <w:rPr>
                <w:sz w:val="20"/>
                <w:szCs w:val="22"/>
              </w:rPr>
              <w:t>Report</w:t>
            </w:r>
            <w:proofErr w:type="spellEnd"/>
            <w:r w:rsidRPr="005B7C69">
              <w:rPr>
                <w:sz w:val="20"/>
                <w:szCs w:val="22"/>
              </w:rPr>
              <w:t xml:space="preserve">. </w:t>
            </w:r>
            <w:proofErr w:type="spellStart"/>
            <w:r w:rsidRPr="005B7C69">
              <w:rPr>
                <w:sz w:val="20"/>
                <w:szCs w:val="22"/>
              </w:rPr>
              <w:t>Ahrendt</w:t>
            </w:r>
            <w:proofErr w:type="spellEnd"/>
            <w:r w:rsidRPr="005B7C69">
              <w:rPr>
                <w:sz w:val="20"/>
                <w:szCs w:val="22"/>
              </w:rPr>
              <w:t xml:space="preserve">, </w:t>
            </w:r>
            <w:proofErr w:type="spellStart"/>
            <w:r w:rsidRPr="005B7C69">
              <w:rPr>
                <w:sz w:val="20"/>
                <w:szCs w:val="22"/>
              </w:rPr>
              <w:t>Daphne</w:t>
            </w:r>
            <w:proofErr w:type="spellEnd"/>
            <w:r w:rsidRPr="005B7C69">
              <w:rPr>
                <w:sz w:val="20"/>
                <w:szCs w:val="22"/>
              </w:rPr>
              <w:t xml:space="preserve">; </w:t>
            </w:r>
            <w:proofErr w:type="spellStart"/>
            <w:r w:rsidRPr="005B7C69">
              <w:rPr>
                <w:sz w:val="20"/>
                <w:szCs w:val="22"/>
              </w:rPr>
              <w:t>Mascherini</w:t>
            </w:r>
            <w:proofErr w:type="spellEnd"/>
            <w:r w:rsidRPr="005B7C69">
              <w:rPr>
                <w:sz w:val="20"/>
                <w:szCs w:val="22"/>
              </w:rPr>
              <w:t xml:space="preserve">, </w:t>
            </w:r>
            <w:proofErr w:type="spellStart"/>
            <w:r w:rsidRPr="005B7C69">
              <w:rPr>
                <w:sz w:val="20"/>
                <w:szCs w:val="22"/>
              </w:rPr>
              <w:t>Massimiliano</w:t>
            </w:r>
            <w:proofErr w:type="spellEnd"/>
            <w:r w:rsidRPr="005B7C69">
              <w:rPr>
                <w:sz w:val="20"/>
                <w:szCs w:val="22"/>
              </w:rPr>
              <w:t xml:space="preserve">; </w:t>
            </w:r>
            <w:proofErr w:type="spellStart"/>
            <w:r w:rsidRPr="005B7C69">
              <w:rPr>
                <w:sz w:val="20"/>
                <w:szCs w:val="22"/>
              </w:rPr>
              <w:t>Nivakoski</w:t>
            </w:r>
            <w:proofErr w:type="spellEnd"/>
            <w:r w:rsidRPr="005B7C69">
              <w:rPr>
                <w:sz w:val="20"/>
                <w:szCs w:val="22"/>
              </w:rPr>
              <w:t xml:space="preserve">, </w:t>
            </w:r>
            <w:proofErr w:type="spellStart"/>
            <w:r w:rsidRPr="005B7C69">
              <w:rPr>
                <w:sz w:val="20"/>
                <w:szCs w:val="22"/>
              </w:rPr>
              <w:t>Sanna</w:t>
            </w:r>
            <w:proofErr w:type="spellEnd"/>
            <w:r w:rsidRPr="005B7C69">
              <w:rPr>
                <w:sz w:val="20"/>
                <w:szCs w:val="22"/>
              </w:rPr>
              <w:t xml:space="preserve">; </w:t>
            </w:r>
            <w:proofErr w:type="spellStart"/>
            <w:r w:rsidRPr="005B7C69">
              <w:rPr>
                <w:sz w:val="20"/>
                <w:szCs w:val="22"/>
              </w:rPr>
              <w:t>Sándor</w:t>
            </w:r>
            <w:proofErr w:type="spellEnd"/>
            <w:r w:rsidRPr="005B7C69">
              <w:rPr>
                <w:sz w:val="20"/>
                <w:szCs w:val="22"/>
              </w:rPr>
              <w:t xml:space="preserve">, </w:t>
            </w:r>
            <w:proofErr w:type="spellStart"/>
            <w:r w:rsidRPr="005B7C69">
              <w:rPr>
                <w:sz w:val="20"/>
                <w:szCs w:val="22"/>
              </w:rPr>
              <w:t>Eszter</w:t>
            </w:r>
            <w:proofErr w:type="spellEnd"/>
            <w:r w:rsidRPr="005B7C69">
              <w:rPr>
                <w:sz w:val="20"/>
                <w:szCs w:val="22"/>
              </w:rPr>
              <w:t xml:space="preserve">, </w:t>
            </w:r>
            <w:proofErr w:type="spellStart"/>
            <w:r w:rsidRPr="005B7C69">
              <w:rPr>
                <w:sz w:val="20"/>
                <w:szCs w:val="22"/>
              </w:rPr>
              <w:t>available</w:t>
            </w:r>
            <w:proofErr w:type="spellEnd"/>
            <w:r w:rsidRPr="005B7C69">
              <w:rPr>
                <w:sz w:val="20"/>
                <w:szCs w:val="22"/>
              </w:rPr>
              <w:t xml:space="preserve"> </w:t>
            </w:r>
            <w:proofErr w:type="spellStart"/>
            <w:r w:rsidRPr="005B7C69">
              <w:rPr>
                <w:sz w:val="20"/>
                <w:szCs w:val="22"/>
              </w:rPr>
              <w:t>at</w:t>
            </w:r>
            <w:proofErr w:type="spellEnd"/>
            <w:r w:rsidRPr="005B7C69">
              <w:rPr>
                <w:sz w:val="20"/>
                <w:szCs w:val="22"/>
              </w:rPr>
              <w:t xml:space="preserve">: </w:t>
            </w:r>
            <w:hyperlink r:id="rId11" w:history="1">
              <w:r w:rsidRPr="005B7C69">
                <w:rPr>
                  <w:rStyle w:val="Hipersaite"/>
                  <w:sz w:val="20"/>
                  <w:szCs w:val="22"/>
                </w:rPr>
                <w:t>https://www.eurofound.europa.eu/publications/report/2021/living-working-and-covid-19-update-april-2021-mental-health-and-trust-decline-across-eu-as-pandemic</w:t>
              </w:r>
            </w:hyperlink>
            <w:r w:rsidRPr="005B7C69">
              <w:rPr>
                <w:sz w:val="20"/>
                <w:szCs w:val="22"/>
              </w:rPr>
              <w:t xml:space="preserve"> </w:t>
            </w:r>
          </w:p>
          <w:p w14:paraId="2227D158"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(2013b), ‘Impact of the crisis on industrial relations’,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Dublin.</w:t>
            </w:r>
          </w:p>
          <w:p w14:paraId="6C96D516"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(2013c), ‘Impact of the crisis on access to healthcare services in the EU’,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Dublin.</w:t>
            </w:r>
          </w:p>
          <w:p w14:paraId="7179AF11"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(2013d), ‘United Kingdom: industrial relations profile’,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Dublin, available at: </w:t>
            </w:r>
            <w:hyperlink r:id="rId12" w:history="1">
              <w:r w:rsidRPr="005B7C69">
                <w:rPr>
                  <w:color w:val="000000"/>
                  <w:spacing w:val="-4"/>
                  <w:kern w:val="16"/>
                  <w:sz w:val="20"/>
                  <w:szCs w:val="22"/>
                  <w:lang w:val="en-US" w:bidi="en-US"/>
                </w:rPr>
                <w:t>http://www.eurofound.europa.eu/eiro/country/united</w:t>
              </w:r>
            </w:hyperlink>
            <w:r w:rsidRPr="005B7C69">
              <w:rPr>
                <w:color w:val="000000"/>
                <w:spacing w:val="-4"/>
                <w:kern w:val="16"/>
                <w:sz w:val="20"/>
                <w:szCs w:val="22"/>
                <w:lang w:val="en-US" w:bidi="en-US"/>
              </w:rPr>
              <w:t>. kingdom.pdf (accessed 22 October 2014).</w:t>
            </w:r>
          </w:p>
          <w:p w14:paraId="643E059A"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Gautie</w:t>
            </w:r>
            <w:proofErr w:type="spellEnd"/>
            <w:r w:rsidRPr="005B7C69">
              <w:rPr>
                <w:color w:val="000000"/>
                <w:spacing w:val="-4"/>
                <w:kern w:val="16"/>
                <w:sz w:val="20"/>
                <w:szCs w:val="22"/>
                <w:lang w:val="en-US" w:bidi="en-US"/>
              </w:rPr>
              <w:t xml:space="preserve">, J. (2013), ‘France: The public sector under pressure’, in in D. Vaughan- Whitehead (ed.), </w:t>
            </w:r>
            <w:r w:rsidRPr="005B7C69">
              <w:rPr>
                <w:i/>
                <w:iCs/>
                <w:color w:val="000000"/>
                <w:spacing w:val="-4"/>
                <w:kern w:val="16"/>
                <w:sz w:val="20"/>
                <w:szCs w:val="22"/>
                <w:lang w:val="en-US" w:bidi="en-US"/>
              </w:rPr>
              <w:t xml:space="preserve">Public Sector Shock: The </w:t>
            </w:r>
            <w:r w:rsidRPr="005B7C69">
              <w:rPr>
                <w:i/>
                <w:iCs/>
                <w:color w:val="000000"/>
                <w:spacing w:val="-4"/>
                <w:kern w:val="16"/>
                <w:sz w:val="20"/>
                <w:szCs w:val="22"/>
                <w:lang w:val="en-US" w:bidi="en-US"/>
              </w:rPr>
              <w:lastRenderedPageBreak/>
              <w:t>Impact of Policy Retrenchment in Europe</w:t>
            </w:r>
            <w:r w:rsidRPr="005B7C69">
              <w:rPr>
                <w:color w:val="000000"/>
                <w:spacing w:val="-4"/>
                <w:kern w:val="16"/>
                <w:sz w:val="20"/>
                <w:szCs w:val="22"/>
                <w:lang w:val="en-US" w:bidi="en-US"/>
              </w:rPr>
              <w:t>, Cheltenham, UK and Northampton, MA, USA: Edward Elgar and Geneva: ILO, pp. 174-214.</w:t>
            </w:r>
          </w:p>
          <w:p w14:paraId="3A69CA79"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Grimshaw, D. (2013), ‘Austerity, privatization and levelling down: public sector reforms in the United Kingdom’, in D. Vaughan-Whitehead (ed.), </w:t>
            </w:r>
            <w:r w:rsidRPr="005B7C69">
              <w:rPr>
                <w:i/>
                <w:iCs/>
                <w:color w:val="000000"/>
                <w:spacing w:val="-4"/>
                <w:kern w:val="16"/>
                <w:sz w:val="20"/>
                <w:szCs w:val="22"/>
                <w:lang w:val="en-US" w:bidi="en-US"/>
              </w:rPr>
              <w:t>Public Sector Shock: The Impact of Policy Retrenchment in Europe</w:t>
            </w:r>
            <w:r w:rsidRPr="005B7C69">
              <w:rPr>
                <w:color w:val="000000"/>
                <w:spacing w:val="-4"/>
                <w:kern w:val="16"/>
                <w:sz w:val="20"/>
                <w:szCs w:val="22"/>
                <w:lang w:val="en-US" w:bidi="en-US"/>
              </w:rPr>
              <w:t>, Cheltenham, UK and Northampton, MA, USA: Edward Elgar and Geneva: ILO, pp. 576-626.</w:t>
            </w:r>
          </w:p>
          <w:p w14:paraId="07896285"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Hermann, C. (2013), ‘Crisis, structural reform and the dismantling of the European Social Model(s)’, Working Paper No. </w:t>
            </w:r>
            <w:r w:rsidRPr="005B7C69">
              <w:rPr>
                <w:color w:val="000000"/>
                <w:spacing w:val="-4"/>
                <w:kern w:val="16"/>
                <w:sz w:val="20"/>
                <w:szCs w:val="22"/>
                <w:lang w:val="en-US" w:eastAsia="ru-RU" w:bidi="ru-RU"/>
              </w:rPr>
              <w:t xml:space="preserve">26/2013, </w:t>
            </w:r>
            <w:r w:rsidRPr="005B7C69">
              <w:rPr>
                <w:color w:val="000000"/>
                <w:spacing w:val="-4"/>
                <w:kern w:val="16"/>
                <w:sz w:val="20"/>
                <w:szCs w:val="22"/>
                <w:lang w:val="en-US" w:bidi="en-US"/>
              </w:rPr>
              <w:t>Institute for International Political Economy, Berlin.</w:t>
            </w:r>
          </w:p>
          <w:p w14:paraId="3C9544A2"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Independent Evaluation Office of the International Monetary Fund (IEO) (2014), ‘IMF response to the financial and economic crisis: an IEO assessment’, 8 October, Washington DC.</w:t>
            </w:r>
          </w:p>
          <w:p w14:paraId="4576DD28"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International Federation of Red Cross and Red Crescent Societies (IFRC) (2013), ‘Think differently: humanitarian impacts of the economic crisis in Europe’, International Federation of Red Cross and Red Crescent Societies, Geneva.</w:t>
            </w:r>
          </w:p>
          <w:p w14:paraId="7C0F2D5B"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(2013a), ‘Jobs, growth and social justice’, Ninth European Regional Meeting, report of the Director-General, Oslo, April.</w:t>
            </w:r>
          </w:p>
          <w:p w14:paraId="6D4BF67D"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(2013b), </w:t>
            </w:r>
            <w:r w:rsidRPr="005B7C69">
              <w:rPr>
                <w:i/>
                <w:iCs/>
                <w:color w:val="000000"/>
                <w:spacing w:val="-4"/>
                <w:kern w:val="16"/>
                <w:sz w:val="20"/>
                <w:szCs w:val="22"/>
                <w:lang w:val="en-US" w:bidi="en-US"/>
              </w:rPr>
              <w:t xml:space="preserve">Global Wage Report </w:t>
            </w:r>
            <w:r w:rsidRPr="005B7C69">
              <w:rPr>
                <w:i/>
                <w:iCs/>
                <w:color w:val="000000"/>
                <w:spacing w:val="-4"/>
                <w:kern w:val="16"/>
                <w:sz w:val="20"/>
                <w:szCs w:val="22"/>
                <w:lang w:val="en-US" w:eastAsia="ru-RU" w:bidi="ru-RU"/>
              </w:rPr>
              <w:t>2012/2013</w:t>
            </w:r>
            <w:r w:rsidRPr="005B7C69">
              <w:rPr>
                <w:color w:val="000000"/>
                <w:spacing w:val="-4"/>
                <w:kern w:val="16"/>
                <w:sz w:val="20"/>
                <w:szCs w:val="22"/>
                <w:lang w:val="en-US" w:bidi="en-US"/>
              </w:rPr>
              <w:t>, Geneva: ILO.</w:t>
            </w:r>
          </w:p>
          <w:p w14:paraId="163C121F"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(2014), ‘Safety and health at work: a vision for sustainable prevention’, Twentieth World Congress on Safety and Health at Work 2014, Global Forum for Prevention, 24-27 August, Frankfurt.</w:t>
            </w:r>
          </w:p>
          <w:p w14:paraId="198FFAB8"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and International Institute of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Studies (IILS) (2010), </w:t>
            </w:r>
            <w:r w:rsidRPr="005B7C69">
              <w:rPr>
                <w:i/>
                <w:iCs/>
                <w:color w:val="000000"/>
                <w:spacing w:val="-4"/>
                <w:kern w:val="16"/>
                <w:sz w:val="20"/>
                <w:szCs w:val="22"/>
                <w:lang w:val="en-US" w:bidi="en-US"/>
              </w:rPr>
              <w:t xml:space="preserve">World of Work Report 2010: From One Crisis to the </w:t>
            </w:r>
            <w:proofErr w:type="gramStart"/>
            <w:r w:rsidRPr="005B7C69">
              <w:rPr>
                <w:i/>
                <w:iCs/>
                <w:color w:val="000000"/>
                <w:spacing w:val="-4"/>
                <w:kern w:val="16"/>
                <w:sz w:val="20"/>
                <w:szCs w:val="22"/>
                <w:lang w:val="en-US" w:bidi="en-US"/>
              </w:rPr>
              <w:t>Next?</w:t>
            </w:r>
            <w:r w:rsidRPr="005B7C69">
              <w:rPr>
                <w:color w:val="000000"/>
                <w:spacing w:val="-4"/>
                <w:kern w:val="16"/>
                <w:sz w:val="20"/>
                <w:szCs w:val="22"/>
                <w:lang w:val="en-US" w:bidi="en-US"/>
              </w:rPr>
              <w:t>,</w:t>
            </w:r>
            <w:proofErr w:type="gramEnd"/>
            <w:r w:rsidRPr="005B7C69">
              <w:rPr>
                <w:color w:val="000000"/>
                <w:spacing w:val="-4"/>
                <w:kern w:val="16"/>
                <w:sz w:val="20"/>
                <w:szCs w:val="22"/>
                <w:lang w:val="en-US" w:bidi="en-US"/>
              </w:rPr>
              <w:t xml:space="preserve"> Geneva: ILO.</w:t>
            </w:r>
          </w:p>
          <w:p w14:paraId="439214F3"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and International Monetary Fund (IMF) (2010), ‘The human costs of recessions’, in 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and International Monetary Fund, </w:t>
            </w:r>
            <w:r w:rsidRPr="005B7C69">
              <w:rPr>
                <w:i/>
                <w:iCs/>
                <w:color w:val="000000"/>
                <w:spacing w:val="-4"/>
                <w:kern w:val="16"/>
                <w:sz w:val="20"/>
                <w:szCs w:val="22"/>
                <w:lang w:val="en-US" w:bidi="en-US"/>
              </w:rPr>
              <w:t>The Challenges of Growth, Employment, and Social Cohesion</w:t>
            </w:r>
            <w:r w:rsidRPr="005B7C69">
              <w:rPr>
                <w:color w:val="000000"/>
                <w:spacing w:val="-4"/>
                <w:kern w:val="16"/>
                <w:sz w:val="20"/>
                <w:szCs w:val="22"/>
                <w:lang w:val="en-US" w:bidi="en-US"/>
              </w:rPr>
              <w:t>, Geneva: ILO and Washington DC: IMF.</w:t>
            </w:r>
          </w:p>
          <w:p w14:paraId="563A7948"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International Trade Union Confederation (ITUC) (2012) ‘Annual survey of violations of trade union rights - Hungary’, 6 June, available at: http://www. refworld.org/</w:t>
            </w:r>
            <w:proofErr w:type="spellStart"/>
            <w:r w:rsidRPr="005B7C69">
              <w:rPr>
                <w:color w:val="000000"/>
                <w:spacing w:val="-4"/>
                <w:kern w:val="16"/>
                <w:sz w:val="20"/>
                <w:szCs w:val="22"/>
                <w:lang w:val="en-US" w:bidi="en-US"/>
              </w:rPr>
              <w:t>docid</w:t>
            </w:r>
            <w:proofErr w:type="spellEnd"/>
            <w:r w:rsidRPr="005B7C69">
              <w:rPr>
                <w:color w:val="000000"/>
                <w:spacing w:val="-4"/>
                <w:kern w:val="16"/>
                <w:sz w:val="20"/>
                <w:szCs w:val="22"/>
                <w:lang w:val="en-US" w:bidi="en-US"/>
              </w:rPr>
              <w:t>/4fd889482d.html (accessed 27 October 2014).</w:t>
            </w:r>
          </w:p>
          <w:p w14:paraId="1C4B922E"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Kvist, J. (2013</w:t>
            </w:r>
            <w:proofErr w:type="gramStart"/>
            <w:r w:rsidRPr="005B7C69">
              <w:rPr>
                <w:color w:val="000000"/>
                <w:spacing w:val="-4"/>
                <w:kern w:val="16"/>
                <w:sz w:val="20"/>
                <w:szCs w:val="22"/>
                <w:lang w:val="en-US" w:bidi="en-US"/>
              </w:rPr>
              <w:t>), ‘</w:t>
            </w:r>
            <w:proofErr w:type="gramEnd"/>
            <w:r w:rsidRPr="005B7C69">
              <w:rPr>
                <w:color w:val="000000"/>
                <w:spacing w:val="-4"/>
                <w:kern w:val="16"/>
                <w:sz w:val="20"/>
                <w:szCs w:val="22"/>
                <w:lang w:val="en-US" w:bidi="en-US"/>
              </w:rPr>
              <w:t xml:space="preserve">The post-crisis European social model: developing or dismantling social investments?’ </w:t>
            </w:r>
            <w:r w:rsidRPr="005B7C69">
              <w:rPr>
                <w:i/>
                <w:iCs/>
                <w:color w:val="000000"/>
                <w:spacing w:val="-4"/>
                <w:kern w:val="16"/>
                <w:sz w:val="20"/>
                <w:szCs w:val="22"/>
                <w:lang w:val="en-US" w:bidi="en-US"/>
              </w:rPr>
              <w:t>Journal of International and Comparative Social Policy</w:t>
            </w:r>
            <w:r w:rsidRPr="005B7C69">
              <w:rPr>
                <w:color w:val="000000"/>
                <w:spacing w:val="-4"/>
                <w:kern w:val="16"/>
                <w:sz w:val="20"/>
                <w:szCs w:val="22"/>
                <w:lang w:val="en-US" w:bidi="en-US"/>
              </w:rPr>
              <w:t xml:space="preserve">, </w:t>
            </w:r>
            <w:r w:rsidRPr="005B7C69">
              <w:rPr>
                <w:bCs/>
                <w:color w:val="000000"/>
                <w:spacing w:val="-4"/>
                <w:kern w:val="16"/>
                <w:sz w:val="20"/>
                <w:szCs w:val="22"/>
                <w:lang w:val="en-US" w:bidi="en-US"/>
              </w:rPr>
              <w:t xml:space="preserve">29 </w:t>
            </w:r>
            <w:r w:rsidRPr="005B7C69">
              <w:rPr>
                <w:color w:val="000000"/>
                <w:spacing w:val="-4"/>
                <w:kern w:val="16"/>
                <w:sz w:val="20"/>
                <w:szCs w:val="22"/>
                <w:lang w:val="en-US" w:bidi="en-US"/>
              </w:rPr>
              <w:t>(1), 91-107.</w:t>
            </w:r>
          </w:p>
          <w:p w14:paraId="1A33AC14"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Leahy, A., Healy, S. and Murphy, M. (2013), ‘The impact of the European crisis’, Caritas Europa, a Caritas Report prepared by Social Justice Ireland and the European Commission, under the PROGRESS </w:t>
            </w:r>
            <w:proofErr w:type="spellStart"/>
            <w:r w:rsidRPr="005B7C69">
              <w:rPr>
                <w:color w:val="000000"/>
                <w:spacing w:val="-4"/>
                <w:kern w:val="16"/>
                <w:sz w:val="20"/>
                <w:szCs w:val="22"/>
                <w:lang w:val="en-US" w:bidi="en-US"/>
              </w:rPr>
              <w:t>Programme</w:t>
            </w:r>
            <w:proofErr w:type="spellEnd"/>
            <w:r w:rsidRPr="005B7C69">
              <w:rPr>
                <w:color w:val="000000"/>
                <w:spacing w:val="-4"/>
                <w:kern w:val="16"/>
                <w:sz w:val="20"/>
                <w:szCs w:val="22"/>
                <w:lang w:val="en-US" w:bidi="en-US"/>
              </w:rPr>
              <w:t xml:space="preserve"> (2007-2013).</w:t>
            </w:r>
          </w:p>
          <w:p w14:paraId="4B5D4C0A"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Morel, N., </w:t>
            </w:r>
            <w:proofErr w:type="spellStart"/>
            <w:r w:rsidRPr="005B7C69">
              <w:rPr>
                <w:color w:val="000000"/>
                <w:spacing w:val="-4"/>
                <w:kern w:val="16"/>
                <w:sz w:val="20"/>
                <w:szCs w:val="22"/>
                <w:lang w:val="en-US" w:bidi="en-US"/>
              </w:rPr>
              <w:t>Palier</w:t>
            </w:r>
            <w:proofErr w:type="spellEnd"/>
            <w:r w:rsidRPr="005B7C69">
              <w:rPr>
                <w:color w:val="000000"/>
                <w:spacing w:val="-4"/>
                <w:kern w:val="16"/>
                <w:sz w:val="20"/>
                <w:szCs w:val="22"/>
                <w:lang w:val="en-US" w:bidi="en-US"/>
              </w:rPr>
              <w:t xml:space="preserve">, B. and Palme, J. (eds) (2012), </w:t>
            </w:r>
            <w:r w:rsidRPr="005B7C69">
              <w:rPr>
                <w:i/>
                <w:iCs/>
                <w:color w:val="000000"/>
                <w:spacing w:val="-4"/>
                <w:kern w:val="16"/>
                <w:sz w:val="20"/>
                <w:szCs w:val="22"/>
                <w:lang w:val="en-US" w:bidi="en-US"/>
              </w:rPr>
              <w:t>Towards a Social Investment State? Ideas, Policies and Challenges</w:t>
            </w:r>
            <w:r w:rsidRPr="005B7C69">
              <w:rPr>
                <w:color w:val="000000"/>
                <w:spacing w:val="-4"/>
                <w:kern w:val="16"/>
                <w:sz w:val="20"/>
                <w:szCs w:val="22"/>
                <w:lang w:val="en-US" w:bidi="en-US"/>
              </w:rPr>
              <w:t>, Bristol: Policy Press.</w:t>
            </w:r>
          </w:p>
          <w:p w14:paraId="553AEE21"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O’Higgins, N. (2011), ‘Italy: limited policy responses and industrial relations in flux, leading to aggravated inequalities’, in D. Vaughan- Whitehead (ed.), </w:t>
            </w:r>
            <w:r w:rsidRPr="005B7C69">
              <w:rPr>
                <w:i/>
                <w:iCs/>
                <w:color w:val="000000"/>
                <w:spacing w:val="-4"/>
                <w:kern w:val="16"/>
                <w:sz w:val="20"/>
                <w:szCs w:val="22"/>
                <w:lang w:val="en-US" w:bidi="en-US"/>
              </w:rPr>
              <w:t>Work Inequalities in the Crisis: Evidence from Europe</w:t>
            </w:r>
            <w:r w:rsidRPr="005B7C69">
              <w:rPr>
                <w:color w:val="000000"/>
                <w:spacing w:val="-4"/>
                <w:kern w:val="16"/>
                <w:sz w:val="20"/>
                <w:szCs w:val="22"/>
                <w:lang w:val="en-US" w:bidi="en-US"/>
              </w:rPr>
              <w:t>, Cheltenham, UK and Northampton, MA, USA: Edward Elgar and Geneva: ILO, pp. 314-49.</w:t>
            </w:r>
          </w:p>
          <w:p w14:paraId="50CE414D"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(2008), ‘Growing unequal? Income distribution and poverty in OECD countries’, OECD, Paris.</w:t>
            </w:r>
          </w:p>
          <w:p w14:paraId="13AC1499"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(2009a), </w:t>
            </w:r>
            <w:r w:rsidRPr="005B7C69">
              <w:rPr>
                <w:i/>
                <w:iCs/>
                <w:color w:val="000000"/>
                <w:spacing w:val="-4"/>
                <w:kern w:val="16"/>
                <w:sz w:val="20"/>
                <w:szCs w:val="22"/>
                <w:lang w:val="en-US" w:bidi="en-US"/>
              </w:rPr>
              <w:t>Ageing and Changes in Public Service Delivery</w:t>
            </w:r>
            <w:r w:rsidRPr="005B7C69">
              <w:rPr>
                <w:color w:val="000000"/>
                <w:spacing w:val="-4"/>
                <w:kern w:val="16"/>
                <w:sz w:val="20"/>
                <w:szCs w:val="22"/>
                <w:lang w:val="en-US" w:bidi="en-US"/>
              </w:rPr>
              <w:t>, Paris: OECD.</w:t>
            </w:r>
          </w:p>
          <w:p w14:paraId="4B9EDB18"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(2011), </w:t>
            </w:r>
            <w:r w:rsidRPr="005B7C69">
              <w:rPr>
                <w:i/>
                <w:iCs/>
                <w:color w:val="000000"/>
                <w:spacing w:val="-4"/>
                <w:kern w:val="16"/>
                <w:sz w:val="20"/>
                <w:szCs w:val="22"/>
                <w:lang w:val="en-US" w:bidi="en-US"/>
              </w:rPr>
              <w:t>Government at a Glance</w:t>
            </w:r>
            <w:r w:rsidRPr="005B7C69">
              <w:rPr>
                <w:color w:val="000000"/>
                <w:spacing w:val="-4"/>
                <w:kern w:val="16"/>
                <w:sz w:val="20"/>
                <w:szCs w:val="22"/>
                <w:lang w:val="en-US" w:bidi="en-US"/>
              </w:rPr>
              <w:t>, Paris: OECD.</w:t>
            </w:r>
          </w:p>
          <w:p w14:paraId="2847F353"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(2013), ‘Crisis squeezes income and puts pressure on inequality and poverty’, OECD: Paris.</w:t>
            </w:r>
          </w:p>
          <w:p w14:paraId="6B4E7531" w14:textId="77777777" w:rsidR="00460572" w:rsidRPr="005B7C69" w:rsidRDefault="00460572" w:rsidP="00460572">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Petmesidou</w:t>
            </w:r>
            <w:proofErr w:type="spellEnd"/>
            <w:r w:rsidRPr="005B7C69">
              <w:rPr>
                <w:color w:val="000000"/>
                <w:spacing w:val="-4"/>
                <w:kern w:val="16"/>
                <w:sz w:val="20"/>
                <w:szCs w:val="22"/>
                <w:lang w:val="en-US" w:bidi="en-US"/>
              </w:rPr>
              <w:t xml:space="preserve">, M. (2013), ‘Is the crisis a watershed moment for the Greek welfare state? The chances for modernization amidst an ambivalent EU record on “Social Europe”’, in A. </w:t>
            </w:r>
            <w:proofErr w:type="spellStart"/>
            <w:r w:rsidRPr="005B7C69">
              <w:rPr>
                <w:color w:val="000000"/>
                <w:spacing w:val="-4"/>
                <w:kern w:val="16"/>
                <w:sz w:val="20"/>
                <w:szCs w:val="22"/>
                <w:lang w:val="en-US" w:bidi="en-US"/>
              </w:rPr>
              <w:t>Triandafyllidou</w:t>
            </w:r>
            <w:proofErr w:type="spellEnd"/>
            <w:r w:rsidRPr="005B7C69">
              <w:rPr>
                <w:color w:val="000000"/>
                <w:spacing w:val="-4"/>
                <w:kern w:val="16"/>
                <w:sz w:val="20"/>
                <w:szCs w:val="22"/>
                <w:lang w:val="en-US" w:bidi="en-US"/>
              </w:rPr>
              <w:t xml:space="preserve">, R. </w:t>
            </w:r>
            <w:proofErr w:type="spellStart"/>
            <w:r w:rsidRPr="005B7C69">
              <w:rPr>
                <w:color w:val="000000"/>
                <w:spacing w:val="-4"/>
                <w:kern w:val="16"/>
                <w:sz w:val="20"/>
                <w:szCs w:val="22"/>
                <w:lang w:val="en-US" w:bidi="en-US"/>
              </w:rPr>
              <w:t>Gropas</w:t>
            </w:r>
            <w:proofErr w:type="spellEnd"/>
            <w:r w:rsidRPr="005B7C69">
              <w:rPr>
                <w:color w:val="000000"/>
                <w:spacing w:val="-4"/>
                <w:kern w:val="16"/>
                <w:sz w:val="20"/>
                <w:szCs w:val="22"/>
                <w:lang w:val="en-US" w:bidi="en-US"/>
              </w:rPr>
              <w:t xml:space="preserve"> and H. Kouki (eds), </w:t>
            </w:r>
            <w:r w:rsidRPr="005B7C69">
              <w:rPr>
                <w:i/>
                <w:iCs/>
                <w:color w:val="000000"/>
                <w:spacing w:val="-4"/>
                <w:kern w:val="16"/>
                <w:sz w:val="20"/>
                <w:szCs w:val="22"/>
                <w:lang w:val="en-US" w:bidi="en-US"/>
              </w:rPr>
              <w:t>The Greek Crisis and European Modernity</w:t>
            </w:r>
            <w:r w:rsidRPr="005B7C69">
              <w:rPr>
                <w:color w:val="000000"/>
                <w:spacing w:val="-4"/>
                <w:kern w:val="16"/>
                <w:sz w:val="20"/>
                <w:szCs w:val="22"/>
                <w:lang w:val="en-US" w:bidi="en-US"/>
              </w:rPr>
              <w:t>, Basingstoke: Palgrave Macmillan, pp. 178-207.</w:t>
            </w:r>
          </w:p>
          <w:p w14:paraId="3BF2C1ED"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Pochet, P. and Degryse, C. (2012), ‘The programmed dismantling of the European social model’, </w:t>
            </w:r>
            <w:proofErr w:type="spellStart"/>
            <w:r w:rsidRPr="005B7C69">
              <w:rPr>
                <w:i/>
                <w:iCs/>
                <w:color w:val="000000"/>
                <w:spacing w:val="-4"/>
                <w:kern w:val="16"/>
                <w:sz w:val="20"/>
                <w:szCs w:val="22"/>
                <w:lang w:val="en-US" w:bidi="en-US"/>
              </w:rPr>
              <w:t>Intereconomics</w:t>
            </w:r>
            <w:proofErr w:type="spellEnd"/>
            <w:r w:rsidRPr="005B7C69">
              <w:rPr>
                <w:color w:val="000000"/>
                <w:spacing w:val="-4"/>
                <w:kern w:val="16"/>
                <w:sz w:val="20"/>
                <w:szCs w:val="22"/>
                <w:lang w:val="en-US" w:bidi="en-US"/>
              </w:rPr>
              <w:t xml:space="preserve">, </w:t>
            </w:r>
            <w:r w:rsidRPr="005B7C69">
              <w:rPr>
                <w:bCs/>
                <w:color w:val="000000"/>
                <w:spacing w:val="-4"/>
                <w:kern w:val="16"/>
                <w:sz w:val="20"/>
                <w:szCs w:val="22"/>
                <w:lang w:val="en-US" w:bidi="en-US"/>
              </w:rPr>
              <w:t xml:space="preserve">47 </w:t>
            </w:r>
            <w:r w:rsidRPr="005B7C69">
              <w:rPr>
                <w:color w:val="000000"/>
                <w:spacing w:val="-4"/>
                <w:kern w:val="16"/>
                <w:sz w:val="20"/>
                <w:szCs w:val="22"/>
                <w:lang w:val="en-US" w:bidi="en-US"/>
              </w:rPr>
              <w:t>(4), 212-17.</w:t>
            </w:r>
          </w:p>
          <w:p w14:paraId="6B0674F1"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Rubery, J. (2013), ‘Public sector adjustment and the threat to gender equality’, in D. Vaughan-Whitehead (ed.), </w:t>
            </w:r>
            <w:r w:rsidRPr="005B7C69">
              <w:rPr>
                <w:i/>
                <w:iCs/>
                <w:color w:val="000000"/>
                <w:spacing w:val="-4"/>
                <w:kern w:val="16"/>
                <w:sz w:val="20"/>
                <w:szCs w:val="22"/>
                <w:lang w:val="en-US" w:bidi="en-US"/>
              </w:rPr>
              <w:t>Public Sector Shock: The Impact of Policy Retrenchment in Europe</w:t>
            </w:r>
            <w:r w:rsidRPr="005B7C69">
              <w:rPr>
                <w:color w:val="000000"/>
                <w:spacing w:val="-4"/>
                <w:kern w:val="16"/>
                <w:sz w:val="20"/>
                <w:szCs w:val="22"/>
                <w:lang w:val="en-US" w:bidi="en-US"/>
              </w:rPr>
              <w:t>, Cheltenham, UK and Northampton, MA, USA: Edward Elgar and Geneva: ILO, pp. 43-83.</w:t>
            </w:r>
          </w:p>
          <w:p w14:paraId="71C12534"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Schulten, T. (2013), ‘The Troika and multi-employer bargaining - how European pressure is destroying national collective bargaining systems’, </w:t>
            </w:r>
            <w:r w:rsidRPr="005B7C69">
              <w:rPr>
                <w:i/>
                <w:iCs/>
                <w:color w:val="000000"/>
                <w:spacing w:val="-4"/>
                <w:kern w:val="16"/>
                <w:sz w:val="20"/>
                <w:szCs w:val="22"/>
                <w:lang w:val="en-US" w:bidi="en-US"/>
              </w:rPr>
              <w:t xml:space="preserve">Global </w:t>
            </w:r>
            <w:proofErr w:type="spellStart"/>
            <w:r w:rsidRPr="005B7C69">
              <w:rPr>
                <w:i/>
                <w:iCs/>
                <w:color w:val="000000"/>
                <w:spacing w:val="-4"/>
                <w:kern w:val="16"/>
                <w:sz w:val="20"/>
                <w:szCs w:val="22"/>
                <w:lang w:val="en-US" w:bidi="en-US"/>
              </w:rPr>
              <w:t>Labour</w:t>
            </w:r>
            <w:proofErr w:type="spellEnd"/>
            <w:r w:rsidRPr="005B7C69">
              <w:rPr>
                <w:i/>
                <w:iCs/>
                <w:color w:val="000000"/>
                <w:spacing w:val="-4"/>
                <w:kern w:val="16"/>
                <w:sz w:val="20"/>
                <w:szCs w:val="22"/>
                <w:lang w:val="en-US" w:bidi="en-US"/>
              </w:rPr>
              <w:t xml:space="preserve"> Column</w:t>
            </w:r>
            <w:r w:rsidRPr="005B7C69">
              <w:rPr>
                <w:color w:val="000000"/>
                <w:spacing w:val="-4"/>
                <w:kern w:val="16"/>
                <w:sz w:val="20"/>
                <w:szCs w:val="22"/>
                <w:lang w:val="en-US" w:bidi="en-US"/>
              </w:rPr>
              <w:t xml:space="preserve">, </w:t>
            </w:r>
            <w:r w:rsidRPr="005B7C69">
              <w:rPr>
                <w:color w:val="000000"/>
                <w:spacing w:val="-4"/>
                <w:kern w:val="16"/>
                <w:sz w:val="20"/>
                <w:szCs w:val="22"/>
                <w:lang w:val="en-US" w:eastAsia="ru-RU" w:bidi="ru-RU"/>
              </w:rPr>
              <w:t xml:space="preserve">06/2013, </w:t>
            </w:r>
            <w:r w:rsidRPr="005B7C69">
              <w:rPr>
                <w:color w:val="000000"/>
                <w:spacing w:val="-4"/>
                <w:kern w:val="16"/>
                <w:sz w:val="20"/>
                <w:szCs w:val="22"/>
                <w:lang w:val="en-US" w:bidi="en-US"/>
              </w:rPr>
              <w:t xml:space="preserve">Global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University, available at: </w:t>
            </w:r>
            <w:hyperlink r:id="rId13" w:history="1">
              <w:r w:rsidRPr="005B7C69">
                <w:rPr>
                  <w:color w:val="000000"/>
                  <w:spacing w:val="-4"/>
                  <w:kern w:val="16"/>
                  <w:sz w:val="20"/>
                  <w:szCs w:val="22"/>
                  <w:lang w:val="en-US" w:bidi="en-US"/>
                </w:rPr>
                <w:t>http://column.global- labour-university.org/2013/06/the-troika-and-multi-employer-bargaining.html</w:t>
              </w:r>
            </w:hyperlink>
            <w:r w:rsidRPr="005B7C69">
              <w:rPr>
                <w:color w:val="000000"/>
                <w:spacing w:val="-4"/>
                <w:kern w:val="16"/>
                <w:sz w:val="20"/>
                <w:szCs w:val="22"/>
                <w:lang w:val="en-US" w:bidi="en-US"/>
              </w:rPr>
              <w:t xml:space="preserve"> (accessed 21 September 2014).</w:t>
            </w:r>
          </w:p>
          <w:p w14:paraId="19BD2C36"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Stiglitz, J. (2002), </w:t>
            </w:r>
            <w:r w:rsidRPr="005B7C69">
              <w:rPr>
                <w:i/>
                <w:iCs/>
                <w:color w:val="000000"/>
                <w:spacing w:val="-4"/>
                <w:kern w:val="16"/>
                <w:sz w:val="20"/>
                <w:szCs w:val="22"/>
                <w:lang w:val="en-US" w:bidi="en-US"/>
              </w:rPr>
              <w:t>Globalization and its Discontents</w:t>
            </w:r>
            <w:r w:rsidRPr="005B7C69">
              <w:rPr>
                <w:color w:val="000000"/>
                <w:spacing w:val="-4"/>
                <w:kern w:val="16"/>
                <w:sz w:val="20"/>
                <w:szCs w:val="22"/>
                <w:lang w:val="en-US" w:bidi="en-US"/>
              </w:rPr>
              <w:t>, New York: W.W. Norton and Company.</w:t>
            </w:r>
          </w:p>
          <w:p w14:paraId="0955D1E3"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fr-FR" w:bidi="en-US"/>
              </w:rPr>
              <w:t xml:space="preserve">Vaughan-Whitehead, D. (2003), </w:t>
            </w:r>
            <w:r w:rsidRPr="005B7C69">
              <w:rPr>
                <w:i/>
                <w:iCs/>
                <w:color w:val="000000"/>
                <w:spacing w:val="-4"/>
                <w:kern w:val="16"/>
                <w:sz w:val="20"/>
                <w:szCs w:val="22"/>
                <w:lang w:val="fr-FR" w:bidi="en-US"/>
              </w:rPr>
              <w:t xml:space="preserve">EU Enlargement versus Social Europe? </w:t>
            </w:r>
            <w:r w:rsidRPr="005B7C69">
              <w:rPr>
                <w:i/>
                <w:iCs/>
                <w:color w:val="000000"/>
                <w:spacing w:val="-4"/>
                <w:kern w:val="16"/>
                <w:sz w:val="20"/>
                <w:szCs w:val="22"/>
                <w:lang w:val="en-US" w:bidi="en-US"/>
              </w:rPr>
              <w:t>The Uncertain Future of the European Social Model</w:t>
            </w:r>
            <w:r w:rsidRPr="005B7C69">
              <w:rPr>
                <w:color w:val="000000"/>
                <w:spacing w:val="-4"/>
                <w:kern w:val="16"/>
                <w:sz w:val="20"/>
                <w:szCs w:val="22"/>
                <w:lang w:val="en-US" w:bidi="en-US"/>
              </w:rPr>
              <w:t>, Cheltenham, UK and Northampton, MA, USA: Edward Elgar and Geneva: ILO.</w:t>
            </w:r>
          </w:p>
          <w:p w14:paraId="3C61A2C5"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Vaughan-Whitehead, D. (ed.) (2007), </w:t>
            </w:r>
            <w:r w:rsidRPr="005B7C69">
              <w:rPr>
                <w:i/>
                <w:iCs/>
                <w:color w:val="000000"/>
                <w:spacing w:val="-4"/>
                <w:kern w:val="16"/>
                <w:sz w:val="20"/>
                <w:szCs w:val="22"/>
                <w:lang w:val="en-US" w:bidi="en-US"/>
              </w:rPr>
              <w:t>The Evolving World of Work in the Enlarged EU: Progress and Vulnerability</w:t>
            </w:r>
            <w:r w:rsidRPr="005B7C69">
              <w:rPr>
                <w:color w:val="000000"/>
                <w:spacing w:val="-4"/>
                <w:kern w:val="16"/>
                <w:sz w:val="20"/>
                <w:szCs w:val="22"/>
                <w:lang w:val="en-US" w:bidi="en-US"/>
              </w:rPr>
              <w:t>, Geneva: ILO.</w:t>
            </w:r>
          </w:p>
          <w:p w14:paraId="08AE26FA" w14:textId="77777777" w:rsidR="00460572" w:rsidRPr="005B7C69" w:rsidRDefault="00460572" w:rsidP="00460572">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Vaughan-Whitehead, D. (ed.) (2011), </w:t>
            </w:r>
            <w:r w:rsidRPr="005B7C69">
              <w:rPr>
                <w:i/>
                <w:iCs/>
                <w:color w:val="000000"/>
                <w:spacing w:val="-4"/>
                <w:kern w:val="16"/>
                <w:sz w:val="20"/>
                <w:szCs w:val="22"/>
                <w:lang w:val="en-US" w:bidi="en-US"/>
              </w:rPr>
              <w:t>Work Inequalities in the Crisis: Evidence from Europe</w:t>
            </w:r>
            <w:r w:rsidRPr="005B7C69">
              <w:rPr>
                <w:color w:val="000000"/>
                <w:spacing w:val="-4"/>
                <w:kern w:val="16"/>
                <w:sz w:val="20"/>
                <w:szCs w:val="22"/>
                <w:lang w:val="en-US" w:bidi="en-US"/>
              </w:rPr>
              <w:t>, Cheltenham, UK and Northampton, MA, USA: Edward Elgar and Geneva: ILO.</w:t>
            </w:r>
          </w:p>
          <w:p w14:paraId="1C19FC45" w14:textId="77777777" w:rsidR="00460572" w:rsidRPr="005B7C69" w:rsidRDefault="00460572" w:rsidP="00460572">
            <w:pPr>
              <w:pStyle w:val="Bodytext40"/>
              <w:numPr>
                <w:ilvl w:val="0"/>
                <w:numId w:val="9"/>
              </w:numPr>
              <w:spacing w:line="240" w:lineRule="auto"/>
              <w:jc w:val="both"/>
              <w:rPr>
                <w:spacing w:val="-4"/>
                <w:kern w:val="16"/>
                <w:sz w:val="22"/>
                <w:szCs w:val="22"/>
              </w:rPr>
            </w:pPr>
            <w:r w:rsidRPr="00C54DE9">
              <w:rPr>
                <w:color w:val="000000"/>
                <w:spacing w:val="-4"/>
                <w:kern w:val="16"/>
                <w:sz w:val="22"/>
                <w:szCs w:val="22"/>
                <w:lang w:val="en-US" w:bidi="en-US"/>
              </w:rPr>
              <w:t xml:space="preserve">Vaughan-Whitehead, D. (ed.) (2013), </w:t>
            </w:r>
            <w:r w:rsidRPr="00C54DE9">
              <w:rPr>
                <w:i/>
                <w:iCs/>
                <w:color w:val="000000"/>
                <w:spacing w:val="-4"/>
                <w:kern w:val="16"/>
                <w:sz w:val="22"/>
                <w:szCs w:val="22"/>
                <w:lang w:val="en-US" w:bidi="en-US"/>
              </w:rPr>
              <w:t>Public Sector Shock: The Impact of Policy Retrenchment in Europe</w:t>
            </w:r>
            <w:r w:rsidRPr="00C54DE9">
              <w:rPr>
                <w:color w:val="000000"/>
                <w:spacing w:val="-4"/>
                <w:kern w:val="16"/>
                <w:sz w:val="22"/>
                <w:szCs w:val="22"/>
                <w:lang w:val="en-US" w:bidi="en-US"/>
              </w:rPr>
              <w:t>, Cheltenham, UK and Northampton, MA, USA: Edward Elgar and Geneva: ILO.</w:t>
            </w:r>
          </w:p>
        </w:tc>
      </w:tr>
    </w:tbl>
    <w:p w14:paraId="23D088C1" w14:textId="77777777" w:rsidR="00B919D2" w:rsidRDefault="00B919D2" w:rsidP="005B7C69"/>
    <w:p w14:paraId="121B0FD6" w14:textId="77777777" w:rsidR="00D20339" w:rsidRDefault="00D20339" w:rsidP="005B7C69"/>
    <w:p w14:paraId="333B2F4D" w14:textId="77777777" w:rsidR="00D20339" w:rsidRPr="00D20339" w:rsidRDefault="00D20339" w:rsidP="00D20339">
      <w:pPr>
        <w:rPr>
          <w:sz w:val="20"/>
        </w:rPr>
      </w:pPr>
      <w:r w:rsidRPr="00D20339">
        <w:rPr>
          <w:sz w:val="20"/>
        </w:rPr>
        <w:t>Studiju priekšmeta programmas vadītājs</w:t>
      </w:r>
      <w:r>
        <w:rPr>
          <w:sz w:val="20"/>
        </w:rPr>
        <w:t xml:space="preserve"> ________________________ </w:t>
      </w:r>
      <w:r>
        <w:rPr>
          <w:sz w:val="20"/>
        </w:rPr>
        <w:tab/>
      </w:r>
      <w:r>
        <w:rPr>
          <w:sz w:val="20"/>
          <w:u w:val="single"/>
        </w:rPr>
        <w:t>Dr.theol., Prof. Olafs Brūvers</w:t>
      </w:r>
    </w:p>
    <w:p w14:paraId="00927D69" w14:textId="77777777" w:rsidR="00D20339" w:rsidRPr="00D20339" w:rsidRDefault="00D20339" w:rsidP="00D20339">
      <w:pPr>
        <w:tabs>
          <w:tab w:val="left" w:pos="3780"/>
          <w:tab w:val="left" w:pos="6660"/>
        </w:tabs>
        <w:rPr>
          <w:i/>
          <w:sz w:val="20"/>
        </w:rPr>
      </w:pPr>
      <w:r w:rsidRPr="00D20339">
        <w:rPr>
          <w:i/>
          <w:sz w:val="20"/>
        </w:rPr>
        <w:tab/>
        <w:t xml:space="preserve">(paraksts)     </w:t>
      </w:r>
      <w:r>
        <w:rPr>
          <w:i/>
          <w:sz w:val="20"/>
        </w:rPr>
        <w:t xml:space="preserve">                  </w:t>
      </w:r>
      <w:r w:rsidRPr="00D20339">
        <w:rPr>
          <w:i/>
          <w:sz w:val="20"/>
        </w:rPr>
        <w:t>(</w:t>
      </w:r>
      <w:proofErr w:type="spellStart"/>
      <w:r w:rsidRPr="00D20339">
        <w:rPr>
          <w:i/>
          <w:sz w:val="20"/>
        </w:rPr>
        <w:t>zin</w:t>
      </w:r>
      <w:proofErr w:type="spellEnd"/>
      <w:r w:rsidRPr="00D20339">
        <w:rPr>
          <w:i/>
          <w:sz w:val="20"/>
        </w:rPr>
        <w:t>. grāds, akad. amats, vārds, uzvārds)</w:t>
      </w:r>
    </w:p>
    <w:p w14:paraId="0EE1CFDB" w14:textId="77777777" w:rsidR="00D20339" w:rsidRDefault="00D20339" w:rsidP="005B7C69"/>
    <w:sectPr w:rsidR="00D20339" w:rsidSect="00AE2FF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0201"/>
    <w:multiLevelType w:val="hybridMultilevel"/>
    <w:tmpl w:val="3D4CD5C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8633A75"/>
    <w:multiLevelType w:val="hybridMultilevel"/>
    <w:tmpl w:val="C6DC8D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5D3633"/>
    <w:multiLevelType w:val="hybridMultilevel"/>
    <w:tmpl w:val="40C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7657F"/>
    <w:multiLevelType w:val="hybridMultilevel"/>
    <w:tmpl w:val="1292C3AA"/>
    <w:lvl w:ilvl="0" w:tplc="FF7AB904">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39434BB"/>
    <w:multiLevelType w:val="hybridMultilevel"/>
    <w:tmpl w:val="521456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AC2A25"/>
    <w:multiLevelType w:val="hybridMultilevel"/>
    <w:tmpl w:val="15B0404C"/>
    <w:lvl w:ilvl="0" w:tplc="3956E3FE">
      <w:start w:val="1"/>
      <w:numFmt w:val="decimal"/>
      <w:lvlText w:val="%1."/>
      <w:lvlJc w:val="left"/>
      <w:pPr>
        <w:ind w:left="360" w:hanging="360"/>
      </w:pPr>
      <w:rPr>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06C7C6F"/>
    <w:multiLevelType w:val="hybridMultilevel"/>
    <w:tmpl w:val="40C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3E7147"/>
    <w:multiLevelType w:val="hybridMultilevel"/>
    <w:tmpl w:val="B66262D8"/>
    <w:lvl w:ilvl="0" w:tplc="0426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68B06F11"/>
    <w:multiLevelType w:val="hybridMultilevel"/>
    <w:tmpl w:val="4278769E"/>
    <w:lvl w:ilvl="0" w:tplc="0426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8824CF"/>
    <w:multiLevelType w:val="hybridMultilevel"/>
    <w:tmpl w:val="95A8DBD0"/>
    <w:lvl w:ilvl="0" w:tplc="FF7AB904">
      <w:start w:val="1"/>
      <w:numFmt w:val="decimal"/>
      <w:lvlText w:val="%1."/>
      <w:lvlJc w:val="left"/>
      <w:pPr>
        <w:ind w:left="36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702470B"/>
    <w:multiLevelType w:val="hybridMultilevel"/>
    <w:tmpl w:val="B99E6266"/>
    <w:lvl w:ilvl="0" w:tplc="94DC56C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646005362">
    <w:abstractNumId w:val="10"/>
  </w:num>
  <w:num w:numId="2" w16cid:durableId="609165132">
    <w:abstractNumId w:val="8"/>
  </w:num>
  <w:num w:numId="3" w16cid:durableId="2129661332">
    <w:abstractNumId w:val="7"/>
  </w:num>
  <w:num w:numId="4" w16cid:durableId="906112041">
    <w:abstractNumId w:val="6"/>
  </w:num>
  <w:num w:numId="5" w16cid:durableId="839125176">
    <w:abstractNumId w:val="2"/>
  </w:num>
  <w:num w:numId="6" w16cid:durableId="1510561987">
    <w:abstractNumId w:val="4"/>
  </w:num>
  <w:num w:numId="7" w16cid:durableId="583612071">
    <w:abstractNumId w:val="1"/>
  </w:num>
  <w:num w:numId="8" w16cid:durableId="1967273576">
    <w:abstractNumId w:val="3"/>
  </w:num>
  <w:num w:numId="9" w16cid:durableId="2129004063">
    <w:abstractNumId w:val="9"/>
  </w:num>
  <w:num w:numId="10" w16cid:durableId="203106813">
    <w:abstractNumId w:val="0"/>
  </w:num>
  <w:num w:numId="11" w16cid:durableId="105201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89"/>
    <w:rsid w:val="00160C5A"/>
    <w:rsid w:val="00190888"/>
    <w:rsid w:val="002A115E"/>
    <w:rsid w:val="002A39D5"/>
    <w:rsid w:val="002C7E89"/>
    <w:rsid w:val="003B036C"/>
    <w:rsid w:val="003C35FD"/>
    <w:rsid w:val="00460572"/>
    <w:rsid w:val="00503CC3"/>
    <w:rsid w:val="005B7C69"/>
    <w:rsid w:val="005C5860"/>
    <w:rsid w:val="00831A6E"/>
    <w:rsid w:val="008F1FCF"/>
    <w:rsid w:val="0096394D"/>
    <w:rsid w:val="00991BC7"/>
    <w:rsid w:val="00AE2FFF"/>
    <w:rsid w:val="00B85DE4"/>
    <w:rsid w:val="00B919D2"/>
    <w:rsid w:val="00BD27D6"/>
    <w:rsid w:val="00C25A56"/>
    <w:rsid w:val="00C54343"/>
    <w:rsid w:val="00C54DE9"/>
    <w:rsid w:val="00D10A36"/>
    <w:rsid w:val="00D20339"/>
    <w:rsid w:val="00D57E2F"/>
    <w:rsid w:val="00DA450C"/>
    <w:rsid w:val="00E94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4322"/>
  <w15:chartTrackingRefBased/>
  <w15:docId w15:val="{F1476C02-B608-483E-B95B-B669747D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5DE4"/>
    <w:pPr>
      <w:spacing w:after="0" w:line="240" w:lineRule="auto"/>
    </w:pPr>
    <w:rPr>
      <w:rFonts w:ascii="Times New Roman" w:eastAsia="Times New Roman" w:hAnsi="Times New Roman" w:cs="Times New Roman"/>
      <w:sz w:val="24"/>
      <w:szCs w:val="24"/>
    </w:rPr>
  </w:style>
  <w:style w:type="paragraph" w:styleId="Virsraksts1">
    <w:name w:val="heading 1"/>
    <w:basedOn w:val="Parasts"/>
    <w:link w:val="Virsraksts1Rakstz"/>
    <w:uiPriority w:val="9"/>
    <w:qFormat/>
    <w:rsid w:val="00B85DE4"/>
    <w:pPr>
      <w:spacing w:before="100" w:beforeAutospacing="1" w:after="100" w:afterAutospacing="1"/>
      <w:outlineLvl w:val="0"/>
    </w:pPr>
    <w:rPr>
      <w:b/>
      <w:bCs/>
      <w:kern w:val="36"/>
      <w:sz w:val="48"/>
      <w:szCs w:val="48"/>
      <w:lang w:val="en-US"/>
    </w:rPr>
  </w:style>
  <w:style w:type="paragraph" w:styleId="Virsraksts2">
    <w:name w:val="heading 2"/>
    <w:basedOn w:val="Parasts"/>
    <w:next w:val="Parasts"/>
    <w:link w:val="Virsraksts2Rakstz"/>
    <w:uiPriority w:val="9"/>
    <w:unhideWhenUsed/>
    <w:qFormat/>
    <w:rsid w:val="00B85DE4"/>
    <w:pPr>
      <w:keepNext/>
      <w:keepLines/>
      <w:autoSpaceDE w:val="0"/>
      <w:autoSpaceDN w:val="0"/>
      <w:spacing w:before="40"/>
      <w:outlineLvl w:val="1"/>
    </w:pPr>
    <w:rPr>
      <w:rFonts w:asciiTheme="majorHAnsi" w:eastAsiaTheme="majorEastAsia" w:hAnsiTheme="majorHAnsi" w:cstheme="majorBidi"/>
      <w:color w:val="2E74B5" w:themeColor="accent1" w:themeShade="BF"/>
      <w:sz w:val="26"/>
      <w:szCs w:val="26"/>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85DE4"/>
    <w:rPr>
      <w:color w:val="0000FF"/>
      <w:u w:val="single"/>
    </w:rPr>
  </w:style>
  <w:style w:type="character" w:customStyle="1" w:styleId="Virsraksts1Rakstz">
    <w:name w:val="Virsraksts 1 Rakstz."/>
    <w:basedOn w:val="Noklusjumarindkopasfonts"/>
    <w:link w:val="Virsraksts1"/>
    <w:uiPriority w:val="9"/>
    <w:rsid w:val="00B85DE4"/>
    <w:rPr>
      <w:rFonts w:ascii="Times New Roman" w:eastAsia="Times New Roman" w:hAnsi="Times New Roman" w:cs="Times New Roman"/>
      <w:b/>
      <w:bCs/>
      <w:kern w:val="36"/>
      <w:sz w:val="48"/>
      <w:szCs w:val="48"/>
      <w:lang w:val="en-US"/>
    </w:rPr>
  </w:style>
  <w:style w:type="character" w:customStyle="1" w:styleId="Virsraksts2Rakstz">
    <w:name w:val="Virsraksts 2 Rakstz."/>
    <w:basedOn w:val="Noklusjumarindkopasfonts"/>
    <w:link w:val="Virsraksts2"/>
    <w:uiPriority w:val="9"/>
    <w:rsid w:val="00B85DE4"/>
    <w:rPr>
      <w:rFonts w:asciiTheme="majorHAnsi" w:eastAsiaTheme="majorEastAsia" w:hAnsiTheme="majorHAnsi" w:cstheme="majorBidi"/>
      <w:color w:val="2E74B5" w:themeColor="accent1" w:themeShade="BF"/>
      <w:sz w:val="26"/>
      <w:szCs w:val="26"/>
      <w:lang w:val="en-AU"/>
    </w:rPr>
  </w:style>
  <w:style w:type="paragraph" w:styleId="Beiguvresteksts">
    <w:name w:val="endnote text"/>
    <w:basedOn w:val="Parasts"/>
    <w:link w:val="BeiguvrestekstsRakstz"/>
    <w:semiHidden/>
    <w:rsid w:val="00B85DE4"/>
    <w:rPr>
      <w:sz w:val="20"/>
      <w:szCs w:val="20"/>
      <w:lang w:eastAsia="lv-LV"/>
    </w:rPr>
  </w:style>
  <w:style w:type="character" w:customStyle="1" w:styleId="BeiguvrestekstsRakstz">
    <w:name w:val="Beigu vēres teksts Rakstz."/>
    <w:basedOn w:val="Noklusjumarindkopasfonts"/>
    <w:link w:val="Beiguvresteksts"/>
    <w:semiHidden/>
    <w:rsid w:val="00B85DE4"/>
    <w:rPr>
      <w:rFonts w:ascii="Times New Roman" w:eastAsia="Times New Roman" w:hAnsi="Times New Roman" w:cs="Times New Roman"/>
      <w:sz w:val="20"/>
      <w:szCs w:val="20"/>
      <w:lang w:eastAsia="lv-LV"/>
    </w:rPr>
  </w:style>
  <w:style w:type="character" w:styleId="Izclums">
    <w:name w:val="Emphasis"/>
    <w:basedOn w:val="Noklusjumarindkopasfonts"/>
    <w:uiPriority w:val="20"/>
    <w:qFormat/>
    <w:rsid w:val="00B85DE4"/>
    <w:rPr>
      <w:i/>
      <w:iCs/>
    </w:rPr>
  </w:style>
  <w:style w:type="character" w:customStyle="1" w:styleId="nlmarticle-title">
    <w:name w:val="nlm_article-title"/>
    <w:basedOn w:val="Noklusjumarindkopasfonts"/>
    <w:rsid w:val="00B85DE4"/>
  </w:style>
  <w:style w:type="paragraph" w:styleId="Sarakstarindkopa">
    <w:name w:val="List Paragraph"/>
    <w:basedOn w:val="Parasts"/>
    <w:uiPriority w:val="34"/>
    <w:qFormat/>
    <w:rsid w:val="0096394D"/>
    <w:pPr>
      <w:ind w:left="720"/>
      <w:contextualSpacing/>
    </w:pPr>
  </w:style>
  <w:style w:type="paragraph" w:styleId="Balonteksts">
    <w:name w:val="Balloon Text"/>
    <w:basedOn w:val="Parasts"/>
    <w:link w:val="BalontekstsRakstz"/>
    <w:uiPriority w:val="99"/>
    <w:semiHidden/>
    <w:unhideWhenUsed/>
    <w:rsid w:val="009639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94D"/>
    <w:rPr>
      <w:rFonts w:ascii="Segoe UI" w:eastAsia="Times New Roman" w:hAnsi="Segoe UI" w:cs="Segoe UI"/>
      <w:sz w:val="18"/>
      <w:szCs w:val="18"/>
    </w:rPr>
  </w:style>
  <w:style w:type="character" w:customStyle="1" w:styleId="Bodytext4">
    <w:name w:val="Body text (4)_"/>
    <w:basedOn w:val="Noklusjumarindkopasfonts"/>
    <w:link w:val="Bodytext40"/>
    <w:rsid w:val="00AE2FFF"/>
    <w:rPr>
      <w:rFonts w:ascii="Times New Roman" w:eastAsia="Times New Roman" w:hAnsi="Times New Roman" w:cs="Times New Roman"/>
      <w:sz w:val="18"/>
      <w:szCs w:val="18"/>
    </w:rPr>
  </w:style>
  <w:style w:type="paragraph" w:customStyle="1" w:styleId="Bodytext40">
    <w:name w:val="Body text (4)"/>
    <w:basedOn w:val="Parasts"/>
    <w:link w:val="Bodytext4"/>
    <w:rsid w:val="00AE2FFF"/>
    <w:pPr>
      <w:widowControl w:val="0"/>
      <w:spacing w:line="233" w:lineRule="auto"/>
      <w:ind w:left="220" w:firstLine="20"/>
    </w:pPr>
    <w:rPr>
      <w:sz w:val="18"/>
      <w:szCs w:val="18"/>
    </w:rPr>
  </w:style>
  <w:style w:type="character" w:customStyle="1" w:styleId="markedcontent">
    <w:name w:val="markedcontent"/>
    <w:basedOn w:val="Noklusjumarindkopasfonts"/>
    <w:rsid w:val="00C5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meetdocs/2009_2014/documents/com/com_com(2011)0900_/com_com(2011)0900_en.pdf" TargetMode="External"/><Relationship Id="rId13" Type="http://schemas.openxmlformats.org/officeDocument/2006/relationships/hyperlink" Target="http://column.global-labour-university.org/2013/06/the-troika-and-multi-employer-bargaining.html" TargetMode="External"/><Relationship Id="rId3" Type="http://schemas.openxmlformats.org/officeDocument/2006/relationships/settings" Target="settings.xml"/><Relationship Id="rId7" Type="http://schemas.openxmlformats.org/officeDocument/2006/relationships/hyperlink" Target="http://en.euabc.com/upload/books/lisbon-treaty-3edition.pdf" TargetMode="External"/><Relationship Id="rId12" Type="http://schemas.openxmlformats.org/officeDocument/2006/relationships/hyperlink" Target="http://www.eurofound.europa.eu/eiro/country/uni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ui.org/Publications2/Working-Papers/The-crisis-and-national-labour-law-reforms-a-mapping-exercise" TargetMode="External"/><Relationship Id="rId11" Type="http://schemas.openxmlformats.org/officeDocument/2006/relationships/hyperlink" Target="https://www.eurofound.europa.eu/publications/report/2021/living-working-and-covid-19-update-april-2021-mental-health-and-trust-decline-across-eu-as-pandemic" TargetMode="External"/><Relationship Id="rId5" Type="http://schemas.openxmlformats.org/officeDocument/2006/relationships/hyperlink" Target="http://www.eurofound.europa.eu/eiro/2010/08/articles/ro1008019i.htm" TargetMode="External"/><Relationship Id="rId15" Type="http://schemas.openxmlformats.org/officeDocument/2006/relationships/theme" Target="theme/theme1.xml"/><Relationship Id="rId10" Type="http://schemas.openxmlformats.org/officeDocument/2006/relationships/hyperlink" Target="https://www.eurofound.europa.eu/observatories/eurwork/industrial-relations-dictionary/european-foundation-for-the-improvement-of-living-and-working-conditions-eurofound" TargetMode="External"/><Relationship Id="rId4" Type="http://schemas.openxmlformats.org/officeDocument/2006/relationships/webSettings" Target="webSettings.xml"/><Relationship Id="rId9" Type="http://schemas.openxmlformats.org/officeDocument/2006/relationships/hyperlink" Target="https://ec.europa.eu/social/BlobServlet?docId=25484&amp;langId=en"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9285</Words>
  <Characters>5293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Valters</dc:creator>
  <cp:keywords/>
  <dc:description/>
  <cp:lastModifiedBy>Valters Dolacis</cp:lastModifiedBy>
  <cp:revision>8</cp:revision>
  <cp:lastPrinted>2022-03-29T08:56:00Z</cp:lastPrinted>
  <dcterms:created xsi:type="dcterms:W3CDTF">2022-04-12T10:55:00Z</dcterms:created>
  <dcterms:modified xsi:type="dcterms:W3CDTF">2025-01-25T18:50:00Z</dcterms:modified>
</cp:coreProperties>
</file>